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B87E" w14:textId="77777777" w:rsidR="007A0CA8" w:rsidRDefault="007A0CA8" w:rsidP="007A0CA8">
      <w:pPr>
        <w:pStyle w:val="Heading1"/>
        <w:jc w:val="center"/>
      </w:pPr>
      <w:r>
        <w:t>Tips for Choosing Accessible Resources</w:t>
      </w:r>
    </w:p>
    <w:p w14:paraId="3098780A" w14:textId="38787A3C" w:rsidR="007A0CA8" w:rsidRDefault="007A0CA8" w:rsidP="007A0CA8">
      <w:r>
        <w:t xml:space="preserve">The information below is provided as a guide for common resources that are used in </w:t>
      </w:r>
      <w:r w:rsidR="00FD15D4">
        <w:t>the course development process.</w:t>
      </w:r>
      <w:r>
        <w:t xml:space="preserve"> It is important to keep in mind that each individual resource is unique and</w:t>
      </w:r>
      <w:r w:rsidR="00A72EEE">
        <w:t>,</w:t>
      </w:r>
      <w:r>
        <w:t xml:space="preserve"> while general guidance is shared below, each resource will be reviewed to ensure it is accessible. </w:t>
      </w:r>
    </w:p>
    <w:p w14:paraId="6441EF4C" w14:textId="77777777" w:rsidR="007A0CA8" w:rsidRPr="0022619B" w:rsidRDefault="007A0CA8" w:rsidP="007A0CA8">
      <w:pPr>
        <w:pStyle w:val="Heading2"/>
        <w:rPr>
          <w:sz w:val="28"/>
          <w:szCs w:val="28"/>
        </w:rPr>
      </w:pPr>
      <w:r w:rsidRPr="0022619B">
        <w:rPr>
          <w:sz w:val="28"/>
          <w:szCs w:val="28"/>
        </w:rPr>
        <w:t>Resource Examples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2884"/>
        <w:gridCol w:w="3776"/>
      </w:tblGrid>
      <w:tr w:rsidR="007A0CA8" w:rsidRPr="005873F9" w14:paraId="4165C9BD" w14:textId="77777777" w:rsidTr="000F5430">
        <w:trPr>
          <w:tblHeader/>
        </w:trPr>
        <w:tc>
          <w:tcPr>
            <w:tcW w:w="2065" w:type="dxa"/>
            <w:shd w:val="clear" w:color="auto" w:fill="0C234B"/>
          </w:tcPr>
          <w:p w14:paraId="50862461" w14:textId="77777777" w:rsidR="007A0CA8" w:rsidRPr="009C6344" w:rsidRDefault="007A0CA8" w:rsidP="001C531A">
            <w:pPr>
              <w:rPr>
                <w:rFonts w:asciiTheme="majorHAnsi" w:hAnsiTheme="majorHAnsi" w:cstheme="majorHAnsi"/>
                <w:b/>
                <w:bCs/>
              </w:rPr>
            </w:pPr>
            <w:r w:rsidRPr="009C6344">
              <w:rPr>
                <w:rFonts w:asciiTheme="majorHAnsi" w:hAnsiTheme="majorHAnsi" w:cstheme="majorHAnsi"/>
                <w:b/>
                <w:bCs/>
              </w:rPr>
              <w:t>Resource Type</w:t>
            </w:r>
          </w:p>
        </w:tc>
        <w:tc>
          <w:tcPr>
            <w:tcW w:w="1890" w:type="dxa"/>
            <w:shd w:val="clear" w:color="auto" w:fill="0C234B"/>
          </w:tcPr>
          <w:p w14:paraId="452E7B0C" w14:textId="5076A4EB" w:rsidR="007A0CA8" w:rsidRPr="009C6344" w:rsidRDefault="007A0CA8" w:rsidP="001C531A">
            <w:pPr>
              <w:rPr>
                <w:rFonts w:asciiTheme="majorHAnsi" w:hAnsiTheme="majorHAnsi" w:cstheme="majorHAnsi"/>
                <w:b/>
                <w:bCs/>
              </w:rPr>
            </w:pPr>
            <w:r w:rsidRPr="009C6344">
              <w:rPr>
                <w:rFonts w:asciiTheme="majorHAnsi" w:hAnsiTheme="majorHAnsi" w:cstheme="majorHAnsi"/>
                <w:b/>
                <w:bCs/>
              </w:rPr>
              <w:t xml:space="preserve">Typical Usage in </w:t>
            </w:r>
            <w:r w:rsidR="00800475">
              <w:rPr>
                <w:rFonts w:asciiTheme="majorHAnsi" w:hAnsiTheme="majorHAnsi" w:cstheme="majorHAnsi"/>
                <w:b/>
                <w:bCs/>
              </w:rPr>
              <w:t>LMS</w:t>
            </w:r>
          </w:p>
        </w:tc>
        <w:tc>
          <w:tcPr>
            <w:tcW w:w="2884" w:type="dxa"/>
            <w:shd w:val="clear" w:color="auto" w:fill="0C234B"/>
          </w:tcPr>
          <w:p w14:paraId="23336516" w14:textId="77777777" w:rsidR="007A0CA8" w:rsidRDefault="007A0CA8" w:rsidP="001C531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What To Look For</w:t>
            </w:r>
          </w:p>
        </w:tc>
        <w:tc>
          <w:tcPr>
            <w:tcW w:w="3776" w:type="dxa"/>
            <w:shd w:val="clear" w:color="auto" w:fill="0C234B"/>
          </w:tcPr>
          <w:p w14:paraId="05B9BBC9" w14:textId="77777777" w:rsidR="007A0CA8" w:rsidRDefault="007A0CA8" w:rsidP="001C531A">
            <w:pPr>
              <w:rPr>
                <w:rFonts w:asciiTheme="majorHAnsi" w:hAnsiTheme="majorHAnsi" w:cstheme="majorHAnsi"/>
                <w:b/>
                <w:bCs/>
              </w:rPr>
            </w:pPr>
            <w:r w:rsidRPr="009C6344">
              <w:rPr>
                <w:rFonts w:asciiTheme="majorHAnsi" w:hAnsiTheme="majorHAnsi" w:cstheme="majorHAnsi"/>
                <w:b/>
                <w:bCs/>
              </w:rPr>
              <w:t>Accessibility Action</w:t>
            </w:r>
          </w:p>
        </w:tc>
      </w:tr>
      <w:tr w:rsidR="007A0CA8" w:rsidRPr="005873F9" w14:paraId="71DC9A3A" w14:textId="77777777" w:rsidTr="000F5430">
        <w:trPr>
          <w:trHeight w:val="4040"/>
        </w:trPr>
        <w:tc>
          <w:tcPr>
            <w:tcW w:w="2065" w:type="dxa"/>
          </w:tcPr>
          <w:p w14:paraId="78F92894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YouTube or Vimeo Videos</w:t>
            </w:r>
          </w:p>
        </w:tc>
        <w:tc>
          <w:tcPr>
            <w:tcW w:w="1890" w:type="dxa"/>
          </w:tcPr>
          <w:p w14:paraId="0996BC91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Linked or e</w:t>
            </w:r>
            <w:r w:rsidRPr="005873F9">
              <w:rPr>
                <w:rFonts w:asciiTheme="majorHAnsi" w:hAnsiTheme="majorHAnsi" w:cstheme="majorHAnsi"/>
              </w:rPr>
              <w:t>mbedded into modules, pages, or assignments for lectures or supplemental content.</w:t>
            </w:r>
          </w:p>
        </w:tc>
        <w:tc>
          <w:tcPr>
            <w:tcW w:w="2884" w:type="dxa"/>
          </w:tcPr>
          <w:p w14:paraId="76CCB175" w14:textId="68D80BA3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the caption and transcript are in all lower </w:t>
            </w:r>
            <w:r w:rsidR="00F55187">
              <w:rPr>
                <w:rFonts w:asciiTheme="majorHAnsi" w:hAnsiTheme="majorHAnsi" w:cstheme="majorHAnsi"/>
              </w:rPr>
              <w:t>cases</w:t>
            </w:r>
            <w:r>
              <w:rPr>
                <w:rFonts w:asciiTheme="majorHAnsi" w:hAnsiTheme="majorHAnsi" w:cstheme="majorHAnsi"/>
              </w:rPr>
              <w:t xml:space="preserve"> and do not contain appropriate upper- and lower-case letters, the video does not meet accessibility requirements. </w:t>
            </w:r>
          </w:p>
          <w:p w14:paraId="25C0CAD8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  <w:p w14:paraId="70328553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the captioning and transcription do not contain proper punctuation, it does not meet accessibility requirements. </w:t>
            </w:r>
          </w:p>
          <w:p w14:paraId="5D31BE95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  <w:p w14:paraId="586936AA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hyperlink r:id="rId7" w:history="1">
              <w:r w:rsidRPr="00C466B6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 xml:space="preserve">Multimedia </w:t>
              </w:r>
              <w:r w:rsidRPr="00C466B6">
                <w:rPr>
                  <w:rStyle w:val="Hyperlink"/>
                  <w:rFonts w:asciiTheme="majorHAnsi" w:hAnsiTheme="majorHAnsi" w:cstheme="majorHAnsi"/>
                </w:rPr>
                <w:t>Accessibility Checklist</w:t>
              </w:r>
            </w:hyperlink>
          </w:p>
          <w:p w14:paraId="5762FE1C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6" w:type="dxa"/>
          </w:tcPr>
          <w:p w14:paraId="0BBB56A9" w14:textId="47EA9636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 xml:space="preserve">If hosted on </w:t>
            </w:r>
            <w:r>
              <w:rPr>
                <w:rFonts w:asciiTheme="majorHAnsi" w:hAnsiTheme="majorHAnsi" w:cstheme="majorHAnsi"/>
              </w:rPr>
              <w:t>a</w:t>
            </w:r>
            <w:r w:rsidR="00FD15D4">
              <w:rPr>
                <w:rFonts w:asciiTheme="majorHAnsi" w:hAnsiTheme="majorHAnsi" w:cstheme="majorHAnsi"/>
              </w:rPr>
              <w:t>n internal</w:t>
            </w:r>
            <w:r w:rsidRPr="005873F9">
              <w:rPr>
                <w:rFonts w:asciiTheme="majorHAnsi" w:hAnsiTheme="majorHAnsi" w:cstheme="majorHAnsi"/>
              </w:rPr>
              <w:t xml:space="preserve"> channel, </w:t>
            </w:r>
            <w:r>
              <w:rPr>
                <w:rFonts w:asciiTheme="majorHAnsi" w:hAnsiTheme="majorHAnsi" w:cstheme="majorHAnsi"/>
              </w:rPr>
              <w:t xml:space="preserve">they require </w:t>
            </w:r>
            <w:r w:rsidRPr="005873F9">
              <w:rPr>
                <w:rFonts w:asciiTheme="majorHAnsi" w:hAnsiTheme="majorHAnsi" w:cstheme="majorHAnsi"/>
              </w:rPr>
              <w:t xml:space="preserve">accurate captions and </w:t>
            </w:r>
            <w:r>
              <w:rPr>
                <w:rFonts w:asciiTheme="majorHAnsi" w:hAnsiTheme="majorHAnsi" w:cstheme="majorHAnsi"/>
              </w:rPr>
              <w:t xml:space="preserve">transcripts with </w:t>
            </w:r>
            <w:r w:rsidRPr="005873F9">
              <w:rPr>
                <w:rFonts w:asciiTheme="majorHAnsi" w:hAnsiTheme="majorHAnsi" w:cstheme="majorHAnsi"/>
              </w:rPr>
              <w:t>audio description</w:t>
            </w:r>
            <w:r>
              <w:rPr>
                <w:rFonts w:asciiTheme="majorHAnsi" w:hAnsiTheme="majorHAnsi" w:cstheme="majorHAnsi"/>
              </w:rPr>
              <w:t>s, if necessary</w:t>
            </w:r>
            <w:r w:rsidRPr="005873F9">
              <w:rPr>
                <w:rFonts w:asciiTheme="majorHAnsi" w:hAnsiTheme="majorHAnsi" w:cstheme="majorHAnsi"/>
              </w:rPr>
              <w:t xml:space="preserve">. </w:t>
            </w:r>
            <w:r w:rsidR="00FD15D4">
              <w:rPr>
                <w:rFonts w:asciiTheme="majorHAnsi" w:hAnsiTheme="majorHAnsi" w:cstheme="majorHAnsi"/>
              </w:rPr>
              <w:t>V</w:t>
            </w:r>
            <w:r>
              <w:rPr>
                <w:rFonts w:asciiTheme="majorHAnsi" w:hAnsiTheme="majorHAnsi" w:cstheme="majorHAnsi"/>
              </w:rPr>
              <w:t>erify captions and transcripts</w:t>
            </w:r>
            <w:r w:rsidRPr="005873F9">
              <w:rPr>
                <w:rFonts w:asciiTheme="majorHAnsi" w:hAnsiTheme="majorHAnsi" w:cstheme="majorHAnsi"/>
              </w:rPr>
              <w:t>; if inaccurate or missing, provide an alternative transcript or replace the video.</w:t>
            </w:r>
          </w:p>
          <w:p w14:paraId="2CF846BF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  <w:p w14:paraId="4BBECD73" w14:textId="190A0FC2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</w:t>
            </w:r>
            <w:r w:rsidRPr="0022619B">
              <w:rPr>
                <w:rFonts w:asciiTheme="majorHAnsi" w:hAnsiTheme="majorHAnsi" w:cstheme="majorHAnsi"/>
                <w:b/>
                <w:bCs/>
              </w:rPr>
              <w:t>not</w:t>
            </w:r>
            <w:r>
              <w:rPr>
                <w:rFonts w:asciiTheme="majorHAnsi" w:hAnsiTheme="majorHAnsi" w:cstheme="majorHAnsi"/>
              </w:rPr>
              <w:t xml:space="preserve"> owned by </w:t>
            </w:r>
            <w:r w:rsidR="00FD15D4">
              <w:rPr>
                <w:rFonts w:asciiTheme="majorHAnsi" w:hAnsiTheme="majorHAnsi" w:cstheme="majorHAnsi"/>
              </w:rPr>
              <w:t>your institution</w:t>
            </w:r>
            <w:r>
              <w:rPr>
                <w:rFonts w:asciiTheme="majorHAnsi" w:hAnsiTheme="majorHAnsi" w:cstheme="majorHAnsi"/>
              </w:rPr>
              <w:t xml:space="preserve">, changes, edits, or additions cannot be made to captions and transcripts to meet WCAG requirements. </w:t>
            </w:r>
          </w:p>
        </w:tc>
      </w:tr>
      <w:tr w:rsidR="007A0CA8" w:rsidRPr="005873F9" w14:paraId="18EE985B" w14:textId="77777777" w:rsidTr="000F5430">
        <w:tc>
          <w:tcPr>
            <w:tcW w:w="2065" w:type="dxa"/>
          </w:tcPr>
          <w:p w14:paraId="3715A107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Publisher or OER PDFs</w:t>
            </w:r>
          </w:p>
        </w:tc>
        <w:tc>
          <w:tcPr>
            <w:tcW w:w="1890" w:type="dxa"/>
          </w:tcPr>
          <w:p w14:paraId="53CF4A0E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Linked as readings or downloadable resources.</w:t>
            </w:r>
          </w:p>
        </w:tc>
        <w:tc>
          <w:tcPr>
            <w:tcW w:w="2884" w:type="dxa"/>
          </w:tcPr>
          <w:p w14:paraId="5258E3FC" w14:textId="77777777" w:rsidR="007A0CA8" w:rsidRDefault="007A0CA8" w:rsidP="001C531A">
            <w:hyperlink r:id="rId8" w:history="1">
              <w:r w:rsidRPr="00801DB8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>Run the Accessibili</w:t>
              </w:r>
              <w:r w:rsidRPr="00801DB8">
                <w:rPr>
                  <w:rStyle w:val="Hyperlink"/>
                  <w:rFonts w:asciiTheme="majorHAnsi" w:hAnsiTheme="majorHAnsi" w:cstheme="majorHAnsi"/>
                </w:rPr>
                <w:t>ty Checker</w:t>
              </w:r>
            </w:hyperlink>
            <w:r>
              <w:rPr>
                <w:rFonts w:asciiTheme="majorHAnsi" w:hAnsiTheme="majorHAnsi" w:cstheme="majorHAnsi"/>
              </w:rPr>
              <w:t xml:space="preserve"> in Adobe Pro. This will provide a report if accessibility issues are found. </w:t>
            </w:r>
            <w:r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br/>
              <w:t xml:space="preserve">Also, review the document for any copyright statements or Creative Commons licensure. </w:t>
            </w:r>
            <w:r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br/>
            </w:r>
            <w:hyperlink r:id="rId9" w:history="1">
              <w:r w:rsidRPr="00AB1B2A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>PDF Accessible Document Information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776" w:type="dxa"/>
          </w:tcPr>
          <w:p w14:paraId="372F1FC7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If edit</w:t>
            </w:r>
            <w:r>
              <w:rPr>
                <w:rFonts w:asciiTheme="majorHAnsi" w:hAnsiTheme="majorHAnsi" w:cstheme="majorHAnsi"/>
              </w:rPr>
              <w:t>ing is allowed (check licensing and copyrights)</w:t>
            </w:r>
            <w:r w:rsidRPr="005873F9">
              <w:rPr>
                <w:rFonts w:asciiTheme="majorHAnsi" w:hAnsiTheme="majorHAnsi" w:cstheme="majorHAnsi"/>
              </w:rPr>
              <w:t xml:space="preserve">, fully remediate (tagging, reading order, </w:t>
            </w:r>
            <w:proofErr w:type="gramStart"/>
            <w:r w:rsidRPr="005873F9">
              <w:rPr>
                <w:rFonts w:asciiTheme="majorHAnsi" w:hAnsiTheme="majorHAnsi" w:cstheme="majorHAnsi"/>
              </w:rPr>
              <w:t>alt</w:t>
            </w:r>
            <w:proofErr w:type="gramEnd"/>
            <w:r w:rsidRPr="005873F9">
              <w:rPr>
                <w:rFonts w:asciiTheme="majorHAnsi" w:hAnsiTheme="majorHAnsi" w:cstheme="majorHAnsi"/>
              </w:rPr>
              <w:t xml:space="preserve"> text).</w:t>
            </w:r>
            <w:r>
              <w:rPr>
                <w:rFonts w:asciiTheme="majorHAnsi" w:hAnsiTheme="majorHAnsi" w:cstheme="majorHAnsi"/>
              </w:rPr>
              <w:t xml:space="preserve"> The ability of the accessibility team to remediate will depend on the complexity of the remediation. </w:t>
            </w:r>
          </w:p>
          <w:p w14:paraId="25E2D7FB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  <w:p w14:paraId="0A8484FD" w14:textId="77777777" w:rsidR="007A0CA8" w:rsidRDefault="007A0CA8" w:rsidP="001C531A">
            <w:r w:rsidRPr="005873F9">
              <w:rPr>
                <w:rFonts w:asciiTheme="majorHAnsi" w:hAnsiTheme="majorHAnsi" w:cstheme="majorHAnsi"/>
              </w:rPr>
              <w:t xml:space="preserve">If </w:t>
            </w:r>
            <w:r w:rsidRPr="0022619B">
              <w:rPr>
                <w:rFonts w:asciiTheme="majorHAnsi" w:hAnsiTheme="majorHAnsi" w:cstheme="majorHAnsi"/>
                <w:b/>
                <w:bCs/>
              </w:rPr>
              <w:t xml:space="preserve">not </w:t>
            </w:r>
            <w:r w:rsidRPr="005873F9">
              <w:rPr>
                <w:rFonts w:asciiTheme="majorHAnsi" w:hAnsiTheme="majorHAnsi" w:cstheme="majorHAnsi"/>
              </w:rPr>
              <w:t xml:space="preserve">editable, request </w:t>
            </w:r>
            <w:r>
              <w:rPr>
                <w:rFonts w:asciiTheme="majorHAnsi" w:hAnsiTheme="majorHAnsi" w:cstheme="majorHAnsi"/>
              </w:rPr>
              <w:t xml:space="preserve">an accessible version from the </w:t>
            </w:r>
            <w:r w:rsidRPr="005873F9">
              <w:rPr>
                <w:rFonts w:asciiTheme="majorHAnsi" w:hAnsiTheme="majorHAnsi" w:cstheme="majorHAnsi"/>
              </w:rPr>
              <w:t>publisher or replace.</w:t>
            </w:r>
          </w:p>
        </w:tc>
      </w:tr>
      <w:tr w:rsidR="007A0CA8" w:rsidRPr="005873F9" w14:paraId="17AAF194" w14:textId="77777777" w:rsidTr="000F5430">
        <w:tc>
          <w:tcPr>
            <w:tcW w:w="2065" w:type="dxa"/>
          </w:tcPr>
          <w:p w14:paraId="1457A89D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PDFs Created by Faculty</w:t>
            </w:r>
          </w:p>
        </w:tc>
        <w:tc>
          <w:tcPr>
            <w:tcW w:w="1890" w:type="dxa"/>
          </w:tcPr>
          <w:p w14:paraId="01EC4271" w14:textId="43434F32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 xml:space="preserve">Lecture notes, </w:t>
            </w:r>
            <w:r>
              <w:rPr>
                <w:rFonts w:asciiTheme="majorHAnsi" w:hAnsiTheme="majorHAnsi" w:cstheme="majorHAnsi"/>
              </w:rPr>
              <w:t>resources</w:t>
            </w:r>
            <w:r w:rsidRPr="005873F9">
              <w:rPr>
                <w:rFonts w:asciiTheme="majorHAnsi" w:hAnsiTheme="majorHAnsi" w:cstheme="majorHAnsi"/>
              </w:rPr>
              <w:t xml:space="preserve">, </w:t>
            </w:r>
            <w:r w:rsidR="00F55187">
              <w:rPr>
                <w:rFonts w:asciiTheme="majorHAnsi" w:hAnsiTheme="majorHAnsi" w:cstheme="majorHAnsi"/>
              </w:rPr>
              <w:t xml:space="preserve">and </w:t>
            </w:r>
            <w:r w:rsidRPr="005873F9">
              <w:rPr>
                <w:rFonts w:asciiTheme="majorHAnsi" w:hAnsiTheme="majorHAnsi" w:cstheme="majorHAnsi"/>
              </w:rPr>
              <w:t>assignment instructions.</w:t>
            </w:r>
          </w:p>
        </w:tc>
        <w:tc>
          <w:tcPr>
            <w:tcW w:w="2884" w:type="dxa"/>
          </w:tcPr>
          <w:p w14:paraId="5FBD8D64" w14:textId="77777777" w:rsidR="007A0CA8" w:rsidRDefault="007A0CA8" w:rsidP="001C531A">
            <w:hyperlink r:id="rId10" w:history="1">
              <w:r w:rsidRPr="00AB1B2A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>PDF Accessible Document Information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776" w:type="dxa"/>
          </w:tcPr>
          <w:p w14:paraId="05E612D8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Remediate within the institution</w:t>
            </w:r>
            <w:r>
              <w:rPr>
                <w:rFonts w:asciiTheme="majorHAnsi" w:hAnsiTheme="majorHAnsi" w:cstheme="majorHAnsi"/>
              </w:rPr>
              <w:t xml:space="preserve"> to meet WCAG requirements</w:t>
            </w:r>
            <w:r w:rsidRPr="005873F9">
              <w:rPr>
                <w:rFonts w:asciiTheme="majorHAnsi" w:hAnsiTheme="majorHAnsi" w:cstheme="majorHAnsi"/>
              </w:rPr>
              <w:t>: tag structure, correct reading order, alt text for images, proper headings, and language setting.</w:t>
            </w:r>
            <w:r>
              <w:rPr>
                <w:rFonts w:asciiTheme="majorHAnsi" w:hAnsiTheme="majorHAnsi" w:cstheme="majorHAnsi"/>
              </w:rPr>
              <w:t xml:space="preserve"> The ability of the accessibility team to remediate will depend on the complexity of the remediation. </w:t>
            </w:r>
          </w:p>
          <w:p w14:paraId="666DA6F5" w14:textId="77777777" w:rsidR="007A0CA8" w:rsidRDefault="007A0CA8" w:rsidP="001C531A"/>
        </w:tc>
      </w:tr>
      <w:tr w:rsidR="007A0CA8" w:rsidRPr="005873F9" w14:paraId="5707FBE6" w14:textId="77777777" w:rsidTr="000F5430">
        <w:tc>
          <w:tcPr>
            <w:tcW w:w="2065" w:type="dxa"/>
          </w:tcPr>
          <w:p w14:paraId="140275D0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lastRenderedPageBreak/>
              <w:t>Third-party Websites</w:t>
            </w:r>
          </w:p>
        </w:tc>
        <w:tc>
          <w:tcPr>
            <w:tcW w:w="1890" w:type="dxa"/>
          </w:tcPr>
          <w:p w14:paraId="3D6E6522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External articles, tools, case studies</w:t>
            </w:r>
            <w:r>
              <w:rPr>
                <w:rFonts w:asciiTheme="majorHAnsi" w:hAnsiTheme="majorHAnsi" w:cstheme="majorHAnsi"/>
              </w:rPr>
              <w:t>, etc</w:t>
            </w:r>
            <w:r w:rsidRPr="005873F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84" w:type="dxa"/>
          </w:tcPr>
          <w:p w14:paraId="4F2AA883" w14:textId="5572B42B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refer to the </w:t>
            </w:r>
            <w:hyperlink r:id="rId11" w:history="1">
              <w:r w:rsidRPr="00552801">
                <w:rPr>
                  <w:rStyle w:val="Hyperlink"/>
                  <w:rFonts w:asciiTheme="majorHAnsi" w:hAnsiTheme="majorHAnsi" w:cstheme="majorHAnsi"/>
                </w:rPr>
                <w:t>Web Accessibility page</w:t>
              </w:r>
            </w:hyperlink>
            <w:r>
              <w:rPr>
                <w:rFonts w:asciiTheme="majorHAnsi" w:hAnsiTheme="majorHAnsi" w:cstheme="majorHAnsi"/>
              </w:rPr>
              <w:t xml:space="preserve"> and the </w:t>
            </w:r>
            <w:hyperlink r:id="rId12" w:history="1">
              <w:r w:rsidRPr="00576A44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>Web Accessibility Checklist</w:t>
              </w:r>
            </w:hyperlink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3776" w:type="dxa"/>
          </w:tcPr>
          <w:p w14:paraId="328F774B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 xml:space="preserve">We </w:t>
            </w:r>
            <w:r w:rsidRPr="00D24CAE">
              <w:rPr>
                <w:rFonts w:asciiTheme="majorHAnsi" w:hAnsiTheme="majorHAnsi" w:cstheme="majorHAnsi"/>
                <w:b/>
                <w:bCs/>
              </w:rPr>
              <w:t xml:space="preserve">cannot </w:t>
            </w:r>
            <w:r w:rsidRPr="005873F9">
              <w:rPr>
                <w:rFonts w:asciiTheme="majorHAnsi" w:hAnsiTheme="majorHAnsi" w:cstheme="majorHAnsi"/>
              </w:rPr>
              <w:t xml:space="preserve">remediate external sites. </w:t>
            </w:r>
            <w:r>
              <w:rPr>
                <w:rFonts w:asciiTheme="majorHAnsi" w:hAnsiTheme="majorHAnsi" w:cstheme="majorHAnsi"/>
              </w:rPr>
              <w:t xml:space="preserve">We do not own them or have access to remediate. </w:t>
            </w:r>
          </w:p>
          <w:p w14:paraId="44E03995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  <w:p w14:paraId="690DF1F4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they </w:t>
            </w:r>
            <w:r w:rsidRPr="00D24CAE">
              <w:rPr>
                <w:rFonts w:asciiTheme="majorHAnsi" w:hAnsiTheme="majorHAnsi" w:cstheme="majorHAnsi"/>
                <w:b/>
                <w:bCs/>
              </w:rPr>
              <w:t>do not</w:t>
            </w:r>
            <w:r>
              <w:rPr>
                <w:rFonts w:asciiTheme="majorHAnsi" w:hAnsiTheme="majorHAnsi" w:cstheme="majorHAnsi"/>
              </w:rPr>
              <w:t xml:space="preserve"> meet WCAG requirements and pose </w:t>
            </w:r>
            <w:r w:rsidRPr="005873F9">
              <w:rPr>
                <w:rFonts w:asciiTheme="majorHAnsi" w:hAnsiTheme="majorHAnsi" w:cstheme="majorHAnsi"/>
              </w:rPr>
              <w:t>major barriers</w:t>
            </w:r>
            <w:r>
              <w:rPr>
                <w:rFonts w:asciiTheme="majorHAnsi" w:hAnsiTheme="majorHAnsi" w:cstheme="majorHAnsi"/>
              </w:rPr>
              <w:t xml:space="preserve"> (ads, etc.), we will explore alternative sites, UDL language, or the creation of fact sheets in partnership with faculty to ensure students have the needed content. </w:t>
            </w:r>
          </w:p>
        </w:tc>
      </w:tr>
      <w:tr w:rsidR="007A0CA8" w:rsidRPr="005873F9" w14:paraId="69A5E85B" w14:textId="77777777" w:rsidTr="000F5430">
        <w:tc>
          <w:tcPr>
            <w:tcW w:w="2065" w:type="dxa"/>
          </w:tcPr>
          <w:p w14:paraId="685793B9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Media</w:t>
            </w:r>
          </w:p>
        </w:tc>
        <w:tc>
          <w:tcPr>
            <w:tcW w:w="1890" w:type="dxa"/>
          </w:tcPr>
          <w:p w14:paraId="02CB1300" w14:textId="0DE1BD80" w:rsidR="007A0CA8" w:rsidRPr="005873F9" w:rsidRDefault="00F55187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Institution</w:t>
            </w:r>
            <w:r w:rsidR="007A0CA8">
              <w:rPr>
                <w:rFonts w:asciiTheme="majorHAnsi" w:hAnsiTheme="majorHAnsi" w:cstheme="majorHAnsi"/>
              </w:rPr>
              <w:t xml:space="preserve"> created and uploaded</w:t>
            </w:r>
            <w:r w:rsidR="007A0CA8" w:rsidRPr="005873F9">
              <w:rPr>
                <w:rFonts w:asciiTheme="majorHAnsi" w:hAnsiTheme="majorHAnsi" w:cstheme="majorHAnsi"/>
              </w:rPr>
              <w:t xml:space="preserve"> video/audio for lectures or announcements.</w:t>
            </w:r>
            <w:r w:rsidR="007A0CA8">
              <w:rPr>
                <w:rFonts w:asciiTheme="majorHAnsi" w:hAnsiTheme="majorHAnsi" w:cstheme="majorHAnsi"/>
              </w:rPr>
              <w:t xml:space="preserve"> This also includes media requested for student submissions. </w:t>
            </w:r>
          </w:p>
        </w:tc>
        <w:tc>
          <w:tcPr>
            <w:tcW w:w="2884" w:type="dxa"/>
          </w:tcPr>
          <w:p w14:paraId="43A4A4F7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refer to the </w:t>
            </w:r>
            <w:hyperlink r:id="rId13" w:history="1">
              <w:r w:rsidRPr="006E3D09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 xml:space="preserve">Multimedia Accessibility </w:t>
              </w:r>
              <w:r w:rsidRPr="006E3D09">
                <w:rPr>
                  <w:rStyle w:val="Hyperlink"/>
                  <w:rFonts w:asciiTheme="majorHAnsi" w:hAnsiTheme="majorHAnsi" w:cstheme="majorHAnsi"/>
                </w:rPr>
                <w:t>Guide page</w:t>
              </w:r>
            </w:hyperlink>
            <w:r>
              <w:rPr>
                <w:rFonts w:asciiTheme="majorHAnsi" w:hAnsiTheme="majorHAnsi" w:cstheme="majorHAnsi"/>
              </w:rPr>
              <w:t xml:space="preserve"> for information on captioning, transcripts, and a checklist to quickly use while evaluating media. </w:t>
            </w:r>
          </w:p>
        </w:tc>
        <w:tc>
          <w:tcPr>
            <w:tcW w:w="3776" w:type="dxa"/>
          </w:tcPr>
          <w:p w14:paraId="1E5979E4" w14:textId="4735C731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Provide accurate captions</w:t>
            </w:r>
            <w:r>
              <w:rPr>
                <w:rFonts w:asciiTheme="majorHAnsi" w:hAnsiTheme="majorHAnsi" w:cstheme="majorHAnsi"/>
              </w:rPr>
              <w:t xml:space="preserve"> and</w:t>
            </w:r>
            <w:r w:rsidRPr="005873F9">
              <w:rPr>
                <w:rFonts w:asciiTheme="majorHAnsi" w:hAnsiTheme="majorHAnsi" w:cstheme="majorHAnsi"/>
              </w:rPr>
              <w:t xml:space="preserve"> transcript</w:t>
            </w:r>
            <w:r>
              <w:rPr>
                <w:rFonts w:asciiTheme="majorHAnsi" w:hAnsiTheme="majorHAnsi" w:cstheme="majorHAnsi"/>
              </w:rPr>
              <w:t>s</w:t>
            </w:r>
            <w:r w:rsidRPr="005873F9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 xml:space="preserve">This will be done as </w:t>
            </w:r>
            <w:r w:rsidR="00F55187">
              <w:rPr>
                <w:rFonts w:asciiTheme="majorHAnsi" w:hAnsiTheme="majorHAnsi" w:cstheme="majorHAnsi"/>
              </w:rPr>
              <w:t>part of the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55187">
              <w:rPr>
                <w:rFonts w:asciiTheme="majorHAnsi" w:hAnsiTheme="majorHAnsi" w:cstheme="majorHAnsi"/>
              </w:rPr>
              <w:t>creation</w:t>
            </w:r>
            <w:r>
              <w:rPr>
                <w:rFonts w:asciiTheme="majorHAnsi" w:hAnsiTheme="majorHAnsi" w:cstheme="majorHAnsi"/>
              </w:rPr>
              <w:t xml:space="preserve"> process. </w:t>
            </w:r>
          </w:p>
        </w:tc>
      </w:tr>
      <w:tr w:rsidR="007A0CA8" w:rsidRPr="005873F9" w14:paraId="58542CCC" w14:textId="77777777" w:rsidTr="000F5430">
        <w:tc>
          <w:tcPr>
            <w:tcW w:w="2065" w:type="dxa"/>
          </w:tcPr>
          <w:p w14:paraId="1CCFE4AB" w14:textId="75277B5D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 xml:space="preserve"> Word or Google Docs/Slides/Sheets</w:t>
            </w:r>
          </w:p>
        </w:tc>
        <w:tc>
          <w:tcPr>
            <w:tcW w:w="1890" w:type="dxa"/>
          </w:tcPr>
          <w:p w14:paraId="6E844664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Linked as collaborative assignments or shared resources.</w:t>
            </w:r>
          </w:p>
        </w:tc>
        <w:tc>
          <w:tcPr>
            <w:tcW w:w="2884" w:type="dxa"/>
          </w:tcPr>
          <w:p w14:paraId="638D5519" w14:textId="626CA7A0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refer to the </w:t>
            </w:r>
            <w:hyperlink r:id="rId14" w:history="1">
              <w:r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>Creating Accessible Content</w:t>
              </w:r>
            </w:hyperlink>
            <w:r>
              <w:rPr>
                <w:rFonts w:asciiTheme="majorHAnsi" w:hAnsiTheme="majorHAnsi" w:cstheme="majorHAnsi"/>
              </w:rPr>
              <w:t xml:space="preserve"> site and also a guide to learn how to use the </w:t>
            </w:r>
            <w:hyperlink r:id="rId15" w:history="1">
              <w:r w:rsidRPr="00D32C23">
                <w:rPr>
                  <w:rStyle w:val="Hyperlink"/>
                  <w:rFonts w:asciiTheme="majorHAnsi" w:eastAsiaTheme="minorHAnsi" w:hAnsiTheme="majorHAnsi" w:cstheme="majorHAnsi"/>
                  <w:kern w:val="2"/>
                  <w14:ligatures w14:val="standardContextual"/>
                </w:rPr>
                <w:t>A</w:t>
              </w:r>
              <w:r w:rsidRPr="00D32C23">
                <w:rPr>
                  <w:rStyle w:val="Hyperlink"/>
                  <w:rFonts w:asciiTheme="majorHAnsi" w:hAnsiTheme="majorHAnsi" w:cstheme="majorHAnsi"/>
                </w:rPr>
                <w:t>ccessibility Checker</w:t>
              </w:r>
            </w:hyperlink>
            <w:r>
              <w:rPr>
                <w:rFonts w:asciiTheme="majorHAnsi" w:hAnsiTheme="majorHAnsi" w:cstheme="majorHAnsi"/>
              </w:rPr>
              <w:t xml:space="preserve"> built into Microsoft products. </w:t>
            </w:r>
          </w:p>
        </w:tc>
        <w:tc>
          <w:tcPr>
            <w:tcW w:w="3776" w:type="dxa"/>
          </w:tcPr>
          <w:p w14:paraId="40069A24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Use the built-in accessibility checker, apply proper headings, alt text, and share with edit/view permissions to maintain accessibility. Export as an accessible PDF if needed.</w:t>
            </w:r>
          </w:p>
        </w:tc>
      </w:tr>
      <w:tr w:rsidR="007A0CA8" w:rsidRPr="005873F9" w14:paraId="0C128EEA" w14:textId="77777777" w:rsidTr="000F5430">
        <w:tc>
          <w:tcPr>
            <w:tcW w:w="2065" w:type="dxa"/>
          </w:tcPr>
          <w:p w14:paraId="30476028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Third-party LTI Tools</w:t>
            </w:r>
          </w:p>
        </w:tc>
        <w:tc>
          <w:tcPr>
            <w:tcW w:w="1890" w:type="dxa"/>
          </w:tcPr>
          <w:p w14:paraId="3D40B466" w14:textId="77777777" w:rsidR="007A0CA8" w:rsidRPr="005873F9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>Tools</w:t>
            </w:r>
            <w:r>
              <w:rPr>
                <w:rFonts w:asciiTheme="majorHAnsi" w:hAnsiTheme="majorHAnsi" w:cstheme="majorHAnsi"/>
              </w:rPr>
              <w:t>/applications</w:t>
            </w:r>
            <w:r w:rsidRPr="005873F9">
              <w:rPr>
                <w:rFonts w:asciiTheme="majorHAnsi" w:hAnsiTheme="majorHAnsi" w:cstheme="majorHAnsi"/>
              </w:rPr>
              <w:t xml:space="preserve"> like </w:t>
            </w:r>
            <w:proofErr w:type="spellStart"/>
            <w:r>
              <w:rPr>
                <w:rFonts w:asciiTheme="majorHAnsi" w:hAnsiTheme="majorHAnsi" w:cstheme="majorHAnsi"/>
              </w:rPr>
              <w:t>Amplifire</w:t>
            </w:r>
            <w:proofErr w:type="spellEnd"/>
            <w:r w:rsidRPr="005873F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ExPrep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r w:rsidRPr="005873F9">
              <w:rPr>
                <w:rFonts w:asciiTheme="majorHAnsi" w:hAnsiTheme="majorHAnsi" w:cstheme="majorHAnsi"/>
              </w:rPr>
              <w:t>or external quizzes.</w:t>
            </w:r>
          </w:p>
        </w:tc>
        <w:tc>
          <w:tcPr>
            <w:tcW w:w="2884" w:type="dxa"/>
          </w:tcPr>
          <w:p w14:paraId="76558D09" w14:textId="33E6E8A8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Please reach out to</w:t>
            </w:r>
            <w:r w:rsidR="00F018F9">
              <w:rPr>
                <w:rFonts w:asciiTheme="majorHAnsi" w:hAnsiTheme="majorHAnsi" w:cstheme="majorHAnsi"/>
              </w:rPr>
              <w:t xml:space="preserve"> your institution’s</w:t>
            </w:r>
            <w:r>
              <w:rPr>
                <w:rFonts w:asciiTheme="majorHAnsi" w:hAnsiTheme="majorHAnsi" w:cstheme="majorHAnsi"/>
              </w:rPr>
              <w:t xml:space="preserve"> Accessibility Team for third-party tool accessibility checks. </w:t>
            </w:r>
          </w:p>
        </w:tc>
        <w:tc>
          <w:tcPr>
            <w:tcW w:w="3776" w:type="dxa"/>
          </w:tcPr>
          <w:p w14:paraId="4B108642" w14:textId="64E756CA" w:rsidR="007A0CA8" w:rsidRDefault="007A0CA8" w:rsidP="001C531A">
            <w:pPr>
              <w:rPr>
                <w:rFonts w:asciiTheme="majorHAnsi" w:hAnsiTheme="majorHAnsi" w:cstheme="majorHAnsi"/>
              </w:rPr>
            </w:pPr>
            <w:r w:rsidRPr="005873F9">
              <w:rPr>
                <w:rFonts w:asciiTheme="majorHAnsi" w:hAnsiTheme="majorHAnsi" w:cstheme="majorHAnsi"/>
              </w:rPr>
              <w:t xml:space="preserve">Ensure vendor VPAT/ACR </w:t>
            </w:r>
            <w:proofErr w:type="gramStart"/>
            <w:r w:rsidR="00260CAA" w:rsidRPr="005873F9">
              <w:rPr>
                <w:rFonts w:asciiTheme="majorHAnsi" w:hAnsiTheme="majorHAnsi" w:cstheme="majorHAnsi"/>
              </w:rPr>
              <w:t>aligns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60CAA">
              <w:rPr>
                <w:rFonts w:asciiTheme="majorHAnsi" w:hAnsiTheme="majorHAnsi" w:cstheme="majorHAnsi"/>
              </w:rPr>
              <w:t>with</w:t>
            </w:r>
            <w:proofErr w:type="gramEnd"/>
            <w:r w:rsidR="00260CAA">
              <w:rPr>
                <w:rFonts w:asciiTheme="majorHAnsi" w:hAnsiTheme="majorHAnsi" w:cstheme="majorHAnsi"/>
              </w:rPr>
              <w:t xml:space="preserve"> </w:t>
            </w:r>
            <w:r w:rsidRPr="005873F9">
              <w:rPr>
                <w:rFonts w:asciiTheme="majorHAnsi" w:hAnsiTheme="majorHAnsi" w:cstheme="majorHAnsi"/>
              </w:rPr>
              <w:t xml:space="preserve">WCAG 2.2 AA. </w:t>
            </w:r>
            <w:r>
              <w:rPr>
                <w:rFonts w:asciiTheme="majorHAnsi" w:hAnsiTheme="majorHAnsi" w:cstheme="majorHAnsi"/>
              </w:rPr>
              <w:t xml:space="preserve">Review and test the tool to ensure it is WCAG </w:t>
            </w:r>
            <w:r w:rsidR="00260CAA">
              <w:rPr>
                <w:rFonts w:asciiTheme="majorHAnsi" w:hAnsiTheme="majorHAnsi" w:cstheme="majorHAnsi"/>
              </w:rPr>
              <w:t>compliant and</w:t>
            </w:r>
            <w:r>
              <w:rPr>
                <w:rFonts w:asciiTheme="majorHAnsi" w:hAnsiTheme="majorHAnsi" w:cstheme="majorHAnsi"/>
              </w:rPr>
              <w:t xml:space="preserve"> include</w:t>
            </w:r>
            <w:r w:rsidRPr="005873F9">
              <w:rPr>
                <w:rFonts w:asciiTheme="majorHAnsi" w:hAnsiTheme="majorHAnsi" w:cstheme="majorHAnsi"/>
              </w:rPr>
              <w:t xml:space="preserve"> accessibility requirements in procurement contracts. </w:t>
            </w:r>
          </w:p>
          <w:p w14:paraId="53FB72B5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</w:p>
          <w:p w14:paraId="706C76B2" w14:textId="77777777" w:rsidR="007A0CA8" w:rsidRDefault="007A0CA8" w:rsidP="001C53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the tool </w:t>
            </w:r>
            <w:r w:rsidRPr="00944A26">
              <w:rPr>
                <w:rFonts w:asciiTheme="majorHAnsi" w:hAnsiTheme="majorHAnsi" w:cstheme="majorHAnsi"/>
                <w:b/>
                <w:bCs/>
              </w:rPr>
              <w:t>does not</w:t>
            </w:r>
            <w:r>
              <w:rPr>
                <w:rFonts w:asciiTheme="majorHAnsi" w:hAnsiTheme="majorHAnsi" w:cstheme="majorHAnsi"/>
              </w:rPr>
              <w:t xml:space="preserve"> meet accessibility requirements, a meeting with the vendor (if possible) is necessary to determine if compliance can be reached and the timeline for the effort. </w:t>
            </w:r>
          </w:p>
        </w:tc>
      </w:tr>
    </w:tbl>
    <w:p w14:paraId="04FB65BC" w14:textId="4CCC4A3A" w:rsidR="003F37CE" w:rsidRDefault="008C4A8B">
      <w:r>
        <w:t xml:space="preserve">The checklists and sites mentioned above are available at the </w:t>
      </w:r>
      <w:r w:rsidRPr="006808EC">
        <w:rPr>
          <w:b/>
          <w:bCs/>
          <w:color w:val="0C234B"/>
        </w:rPr>
        <w:t>University of Arizona Global Campus Accessibility Resource Center.</w:t>
      </w:r>
      <w:r>
        <w:t xml:space="preserve"> </w:t>
      </w:r>
    </w:p>
    <w:p w14:paraId="194FBF84" w14:textId="4AB103DB" w:rsidR="00B85BD8" w:rsidRDefault="003F37CE" w:rsidP="006808EC">
      <w:pPr>
        <w:jc w:val="center"/>
      </w:pPr>
      <w:r w:rsidRPr="00617156">
        <w:drawing>
          <wp:inline distT="0" distB="0" distL="0" distR="0" wp14:anchorId="6DB0BAA0" wp14:editId="770D77E4">
            <wp:extent cx="1463040" cy="1463040"/>
            <wp:effectExtent l="0" t="0" r="3810" b="3810"/>
            <wp:docPr id="2135985642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85642" name="Picture 1" descr="A qr code with a dinosau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0F5A" w14:textId="0CA69B8C" w:rsidR="00F55187" w:rsidRDefault="00664200" w:rsidP="00377416">
      <w:pPr>
        <w:pStyle w:val="Heading1"/>
        <w:jc w:val="center"/>
      </w:pPr>
      <w:r>
        <w:lastRenderedPageBreak/>
        <w:t>Steps for Determining Remediation or Resource Replacement</w:t>
      </w:r>
    </w:p>
    <w:p w14:paraId="3568B125" w14:textId="77777777" w:rsidR="007A0CA8" w:rsidRPr="0022619B" w:rsidRDefault="007A0CA8" w:rsidP="007A0CA8">
      <w:pPr>
        <w:pStyle w:val="Heading2"/>
        <w:rPr>
          <w:sz w:val="28"/>
          <w:szCs w:val="28"/>
        </w:rPr>
      </w:pPr>
      <w:r w:rsidRPr="0022619B">
        <w:rPr>
          <w:sz w:val="28"/>
          <w:szCs w:val="28"/>
        </w:rPr>
        <w:t>Step 1: Determine Ownership or Control</w:t>
      </w:r>
    </w:p>
    <w:p w14:paraId="0C60B6C8" w14:textId="77777777" w:rsidR="007A0CA8" w:rsidRDefault="007A0CA8" w:rsidP="007A0CA8">
      <w:r>
        <w:t>Question: Do we own the content or control it through a contract?</w:t>
      </w:r>
    </w:p>
    <w:p w14:paraId="7550BE11" w14:textId="7DAF9F05" w:rsidR="007A0CA8" w:rsidRDefault="007A0CA8" w:rsidP="007A0CA8">
      <w:r w:rsidRPr="00893640">
        <w:rPr>
          <w:b/>
          <w:bCs/>
        </w:rPr>
        <w:t>Owned examples</w:t>
      </w:r>
      <w:r>
        <w:t xml:space="preserve">: LMS pages, university websites, PDFs created by </w:t>
      </w:r>
      <w:r w:rsidR="00F55187">
        <w:t>your own institution</w:t>
      </w:r>
      <w:r>
        <w:t>, Word documents, PowerPoint files, media hosted on our servers, SCORM or Articulate modules created by the institution.</w:t>
      </w:r>
      <w:r>
        <w:br/>
      </w:r>
      <w:r w:rsidRPr="00893640">
        <w:rPr>
          <w:b/>
          <w:bCs/>
        </w:rPr>
        <w:t>Controlled by contract</w:t>
      </w:r>
      <w:r>
        <w:t>: Licensed tools or content with clear accessibility obligations in the contract.</w:t>
      </w:r>
    </w:p>
    <w:p w14:paraId="359880D9" w14:textId="77777777" w:rsidR="007A0CA8" w:rsidRDefault="007A0CA8" w:rsidP="00173D77">
      <w:pPr>
        <w:pStyle w:val="ListParagraph"/>
        <w:numPr>
          <w:ilvl w:val="0"/>
          <w:numId w:val="1"/>
        </w:numPr>
      </w:pPr>
      <w:r w:rsidRPr="00521A9C">
        <w:rPr>
          <w:b/>
          <w:bCs/>
        </w:rPr>
        <w:t>Action</w:t>
      </w:r>
      <w:r>
        <w:t xml:space="preserve">: If </w:t>
      </w:r>
      <w:r w:rsidRPr="00521A9C">
        <w:rPr>
          <w:b/>
          <w:bCs/>
        </w:rPr>
        <w:t>Yes</w:t>
      </w:r>
      <w:r>
        <w:t>, we can remediate to meet WCAG 2.2 AA. This includes captions, transcripts, keyboard navigation, alt text, contrast, reading order, and all other applicable success criteria. Document testing and fixes.</w:t>
      </w:r>
    </w:p>
    <w:p w14:paraId="3693C340" w14:textId="77777777" w:rsidR="007A0CA8" w:rsidRDefault="007A0CA8" w:rsidP="00173D77">
      <w:pPr>
        <w:pStyle w:val="ListParagraph"/>
        <w:numPr>
          <w:ilvl w:val="0"/>
          <w:numId w:val="1"/>
        </w:numPr>
      </w:pPr>
      <w:r>
        <w:t xml:space="preserve">If </w:t>
      </w:r>
      <w:r w:rsidRPr="00521A9C">
        <w:rPr>
          <w:b/>
          <w:bCs/>
        </w:rPr>
        <w:t>No</w:t>
      </w:r>
      <w:r>
        <w:t>, proceed to Step 2.</w:t>
      </w:r>
      <w:r>
        <w:br/>
      </w:r>
    </w:p>
    <w:p w14:paraId="5DB62D7D" w14:textId="77777777" w:rsidR="007A0CA8" w:rsidRPr="0022619B" w:rsidRDefault="007A0CA8" w:rsidP="007A0CA8">
      <w:pPr>
        <w:pStyle w:val="Heading2"/>
        <w:rPr>
          <w:sz w:val="28"/>
          <w:szCs w:val="28"/>
        </w:rPr>
      </w:pPr>
      <w:r w:rsidRPr="0022619B">
        <w:rPr>
          <w:sz w:val="28"/>
          <w:szCs w:val="28"/>
        </w:rPr>
        <w:t>Step 2: Check for Accessible Equivalent</w:t>
      </w:r>
    </w:p>
    <w:p w14:paraId="30FBF9F0" w14:textId="77777777" w:rsidR="007A0CA8" w:rsidRDefault="007A0CA8" w:rsidP="007A0CA8">
      <w:r>
        <w:t>Question: Is there an accessible equivalent resource that meets the same learning objective?</w:t>
      </w:r>
      <w:r>
        <w:br/>
      </w:r>
      <w:r>
        <w:br/>
        <w:t>Examples:</w:t>
      </w:r>
    </w:p>
    <w:p w14:paraId="4DB04ABF" w14:textId="77777777" w:rsidR="007A0CA8" w:rsidRDefault="007A0CA8" w:rsidP="00173D77">
      <w:pPr>
        <w:pStyle w:val="ListParagraph"/>
        <w:numPr>
          <w:ilvl w:val="0"/>
          <w:numId w:val="2"/>
        </w:numPr>
      </w:pPr>
      <w:r>
        <w:t>A captioned version of a video on another platform.</w:t>
      </w:r>
    </w:p>
    <w:p w14:paraId="7F306410" w14:textId="77777777" w:rsidR="007A0CA8" w:rsidRDefault="007A0CA8" w:rsidP="00173D77">
      <w:pPr>
        <w:pStyle w:val="ListParagraph"/>
        <w:numPr>
          <w:ilvl w:val="0"/>
          <w:numId w:val="2"/>
        </w:numPr>
      </w:pPr>
      <w:r>
        <w:t>An accessible HTML version of a PDF.</w:t>
      </w:r>
    </w:p>
    <w:p w14:paraId="7E7BC27A" w14:textId="77777777" w:rsidR="007A0CA8" w:rsidRDefault="007A0CA8" w:rsidP="00173D77">
      <w:pPr>
        <w:pStyle w:val="ListParagraph"/>
        <w:numPr>
          <w:ilvl w:val="0"/>
          <w:numId w:val="2"/>
        </w:numPr>
      </w:pPr>
      <w:r>
        <w:t>A different but equivalent article or dataset.</w:t>
      </w:r>
    </w:p>
    <w:p w14:paraId="6CE0CE82" w14:textId="77777777" w:rsidR="007A0CA8" w:rsidRDefault="007A0CA8" w:rsidP="007A0CA8">
      <w:r>
        <w:t xml:space="preserve">Action: If </w:t>
      </w:r>
      <w:r w:rsidRPr="00893640">
        <w:rPr>
          <w:b/>
          <w:bCs/>
        </w:rPr>
        <w:t>Yes</w:t>
      </w:r>
      <w:r>
        <w:t>, use the accessible equivalent and document the substitution.</w:t>
      </w:r>
      <w:r>
        <w:br/>
        <w:t xml:space="preserve">If </w:t>
      </w:r>
      <w:r w:rsidRPr="00893640">
        <w:rPr>
          <w:b/>
          <w:bCs/>
        </w:rPr>
        <w:t>No</w:t>
      </w:r>
      <w:r>
        <w:t>, proceed to Step 3.</w:t>
      </w:r>
    </w:p>
    <w:p w14:paraId="075F4BBD" w14:textId="77777777" w:rsidR="007A0CA8" w:rsidRPr="0022619B" w:rsidRDefault="007A0CA8" w:rsidP="007A0CA8">
      <w:pPr>
        <w:pStyle w:val="Heading2"/>
        <w:rPr>
          <w:sz w:val="28"/>
          <w:szCs w:val="28"/>
        </w:rPr>
      </w:pPr>
      <w:r w:rsidRPr="0022619B">
        <w:rPr>
          <w:sz w:val="28"/>
          <w:szCs w:val="28"/>
        </w:rPr>
        <w:t>Step 3: Determine Essentiality</w:t>
      </w:r>
    </w:p>
    <w:p w14:paraId="6DE94489" w14:textId="77777777" w:rsidR="007A0CA8" w:rsidRDefault="007A0CA8" w:rsidP="007A0CA8">
      <w:r>
        <w:t>Question: Is the resource essential to meet a required learning objective or assessment?</w:t>
      </w:r>
      <w:r>
        <w:br/>
      </w:r>
      <w:r>
        <w:br/>
        <w:t>Consider:</w:t>
      </w:r>
    </w:p>
    <w:p w14:paraId="28F7226C" w14:textId="77777777" w:rsidR="007A0CA8" w:rsidRDefault="007A0CA8" w:rsidP="00173D77">
      <w:pPr>
        <w:pStyle w:val="ListParagraph"/>
        <w:numPr>
          <w:ilvl w:val="0"/>
          <w:numId w:val="3"/>
        </w:numPr>
      </w:pPr>
      <w:r>
        <w:t>Does it support a core competency or outcome?</w:t>
      </w:r>
    </w:p>
    <w:p w14:paraId="2BF05D61" w14:textId="77777777" w:rsidR="007A0CA8" w:rsidRDefault="007A0CA8" w:rsidP="00173D77">
      <w:pPr>
        <w:pStyle w:val="ListParagraph"/>
        <w:numPr>
          <w:ilvl w:val="0"/>
          <w:numId w:val="3"/>
        </w:numPr>
      </w:pPr>
      <w:r>
        <w:t>Is it mandated by curriculum standards or accreditation?</w:t>
      </w:r>
    </w:p>
    <w:p w14:paraId="3F3B2B67" w14:textId="77777777" w:rsidR="007A0CA8" w:rsidRDefault="007A0CA8" w:rsidP="00173D77">
      <w:pPr>
        <w:pStyle w:val="ListParagraph"/>
        <w:numPr>
          <w:ilvl w:val="0"/>
          <w:numId w:val="3"/>
        </w:numPr>
      </w:pPr>
      <w:r>
        <w:t>Is it unique and not replaceable?</w:t>
      </w:r>
    </w:p>
    <w:p w14:paraId="5BFCEE1A" w14:textId="22545E08" w:rsidR="007A0CA8" w:rsidRDefault="007A0CA8" w:rsidP="007A0CA8">
      <w:pPr>
        <w:tabs>
          <w:tab w:val="left" w:pos="90"/>
        </w:tabs>
        <w:ind w:left="360" w:hanging="360"/>
      </w:pPr>
      <w:r>
        <w:t>Action:</w:t>
      </w:r>
      <w:r>
        <w:br/>
        <w:t xml:space="preserve">• If </w:t>
      </w:r>
      <w:r w:rsidRPr="00893640">
        <w:rPr>
          <w:b/>
          <w:bCs/>
        </w:rPr>
        <w:t>No</w:t>
      </w:r>
      <w:r>
        <w:t>: Replace it with an accessible replacement that achieves the same objective or remove it.</w:t>
      </w:r>
      <w:r>
        <w:br/>
        <w:t xml:space="preserve">• If </w:t>
      </w:r>
      <w:r w:rsidRPr="00893640">
        <w:rPr>
          <w:b/>
          <w:bCs/>
        </w:rPr>
        <w:t>Yes</w:t>
      </w:r>
      <w:r>
        <w:t xml:space="preserve">: Replace with an equally effective replacement (example: Fact Sheet). Please consult  </w:t>
      </w:r>
      <w:r>
        <w:br/>
        <w:t xml:space="preserve">   with </w:t>
      </w:r>
      <w:r w:rsidR="00260CAA">
        <w:t>your institution’s</w:t>
      </w:r>
      <w:r>
        <w:t xml:space="preserve"> Accessibility Team or Library Services </w:t>
      </w:r>
      <w:r w:rsidR="00260CAA">
        <w:t>regarding</w:t>
      </w:r>
      <w:r>
        <w:t xml:space="preserve"> options. </w:t>
      </w:r>
    </w:p>
    <w:p w14:paraId="38EC2B6D" w14:textId="77777777" w:rsidR="00F018F9" w:rsidRDefault="00F018F9" w:rsidP="007A0CA8">
      <w:pPr>
        <w:tabs>
          <w:tab w:val="left" w:pos="90"/>
        </w:tabs>
        <w:ind w:left="360" w:hanging="360"/>
      </w:pPr>
    </w:p>
    <w:p w14:paraId="6D42E052" w14:textId="77777777" w:rsidR="00F018F9" w:rsidRDefault="00F018F9" w:rsidP="007A0CA8">
      <w:pPr>
        <w:tabs>
          <w:tab w:val="left" w:pos="90"/>
        </w:tabs>
        <w:ind w:left="360" w:hanging="360"/>
      </w:pPr>
    </w:p>
    <w:p w14:paraId="62D7F90E" w14:textId="4F685325" w:rsidR="00173D77" w:rsidRDefault="00173D77" w:rsidP="00173D77"/>
    <w:sectPr w:rsidR="00173D77" w:rsidSect="00F65222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0530" w14:textId="77777777" w:rsidR="000B5DB6" w:rsidRDefault="000B5DB6">
      <w:pPr>
        <w:spacing w:after="0" w:line="240" w:lineRule="auto"/>
      </w:pPr>
      <w:r>
        <w:separator/>
      </w:r>
    </w:p>
  </w:endnote>
  <w:endnote w:type="continuationSeparator" w:id="0">
    <w:p w14:paraId="0EEAC0C4" w14:textId="77777777" w:rsidR="000B5DB6" w:rsidRDefault="000B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576105" w14:paraId="6CAEE803" w14:textId="77777777" w:rsidTr="79576105">
      <w:trPr>
        <w:trHeight w:val="300"/>
      </w:trPr>
      <w:tc>
        <w:tcPr>
          <w:tcW w:w="3120" w:type="dxa"/>
        </w:tcPr>
        <w:p w14:paraId="70DB1389" w14:textId="1E8DF006" w:rsidR="79576105" w:rsidRDefault="79576105" w:rsidP="79576105">
          <w:pPr>
            <w:pStyle w:val="Header"/>
            <w:ind w:left="-115"/>
          </w:pPr>
        </w:p>
      </w:tc>
      <w:tc>
        <w:tcPr>
          <w:tcW w:w="3120" w:type="dxa"/>
        </w:tcPr>
        <w:p w14:paraId="3B68C835" w14:textId="0C0EB512" w:rsidR="79576105" w:rsidRDefault="79576105" w:rsidP="79576105">
          <w:pPr>
            <w:pStyle w:val="Header"/>
            <w:jc w:val="center"/>
          </w:pPr>
        </w:p>
      </w:tc>
      <w:tc>
        <w:tcPr>
          <w:tcW w:w="3120" w:type="dxa"/>
        </w:tcPr>
        <w:p w14:paraId="749D9202" w14:textId="5A2536AF" w:rsidR="79576105" w:rsidRDefault="79576105" w:rsidP="79576105">
          <w:pPr>
            <w:pStyle w:val="Header"/>
            <w:ind w:right="-115"/>
            <w:jc w:val="right"/>
          </w:pPr>
        </w:p>
      </w:tc>
    </w:tr>
  </w:tbl>
  <w:p w14:paraId="3F5D04F1" w14:textId="1225AE61" w:rsidR="79576105" w:rsidRDefault="79576105" w:rsidP="79576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1ABA" w14:textId="77777777" w:rsidR="000B5DB6" w:rsidRDefault="000B5DB6">
      <w:pPr>
        <w:spacing w:after="0" w:line="240" w:lineRule="auto"/>
      </w:pPr>
      <w:r>
        <w:separator/>
      </w:r>
    </w:p>
  </w:footnote>
  <w:footnote w:type="continuationSeparator" w:id="0">
    <w:p w14:paraId="1788FD2C" w14:textId="77777777" w:rsidR="000B5DB6" w:rsidRDefault="000B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0719" w14:textId="6F0B3097" w:rsidR="79576105" w:rsidRDefault="002A4845" w:rsidP="79576105">
    <w:pPr>
      <w:pStyle w:val="Header"/>
    </w:pPr>
    <w:r>
      <w:rPr>
        <w:noProof/>
      </w:rPr>
      <w:drawing>
        <wp:inline distT="0" distB="0" distL="0" distR="0" wp14:anchorId="1B53F51D" wp14:editId="390546CA">
          <wp:extent cx="1478280" cy="458890"/>
          <wp:effectExtent l="0" t="0" r="0" b="0"/>
          <wp:docPr id="1523796655" name="drawing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96655" name="drawing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779" cy="470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76"/>
    <w:multiLevelType w:val="hybridMultilevel"/>
    <w:tmpl w:val="B060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272A2"/>
    <w:multiLevelType w:val="hybridMultilevel"/>
    <w:tmpl w:val="002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2E08"/>
    <w:multiLevelType w:val="hybridMultilevel"/>
    <w:tmpl w:val="4E16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5751">
    <w:abstractNumId w:val="0"/>
  </w:num>
  <w:num w:numId="2" w16cid:durableId="6832613">
    <w:abstractNumId w:val="1"/>
  </w:num>
  <w:num w:numId="3" w16cid:durableId="1538795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57"/>
    <w:rsid w:val="00024213"/>
    <w:rsid w:val="000B5DB6"/>
    <w:rsid w:val="000C5998"/>
    <w:rsid w:val="000F227F"/>
    <w:rsid w:val="000F5430"/>
    <w:rsid w:val="00142A09"/>
    <w:rsid w:val="00173D77"/>
    <w:rsid w:val="001842B0"/>
    <w:rsid w:val="00196AB2"/>
    <w:rsid w:val="001C24A5"/>
    <w:rsid w:val="001C700F"/>
    <w:rsid w:val="00222244"/>
    <w:rsid w:val="0022619B"/>
    <w:rsid w:val="002443CB"/>
    <w:rsid w:val="00252425"/>
    <w:rsid w:val="00253779"/>
    <w:rsid w:val="00260CAA"/>
    <w:rsid w:val="00263246"/>
    <w:rsid w:val="00280AE7"/>
    <w:rsid w:val="002A4845"/>
    <w:rsid w:val="002C3AFC"/>
    <w:rsid w:val="00303229"/>
    <w:rsid w:val="0032754B"/>
    <w:rsid w:val="003602DC"/>
    <w:rsid w:val="003619E4"/>
    <w:rsid w:val="003647FC"/>
    <w:rsid w:val="00365635"/>
    <w:rsid w:val="00377416"/>
    <w:rsid w:val="003942F2"/>
    <w:rsid w:val="003D526D"/>
    <w:rsid w:val="003F37CE"/>
    <w:rsid w:val="0040047C"/>
    <w:rsid w:val="004072D3"/>
    <w:rsid w:val="0042598F"/>
    <w:rsid w:val="00476632"/>
    <w:rsid w:val="00486BCD"/>
    <w:rsid w:val="004B58CE"/>
    <w:rsid w:val="00504354"/>
    <w:rsid w:val="005103F4"/>
    <w:rsid w:val="00521A9C"/>
    <w:rsid w:val="00534C16"/>
    <w:rsid w:val="00546FA8"/>
    <w:rsid w:val="00552801"/>
    <w:rsid w:val="00553B8F"/>
    <w:rsid w:val="005705A1"/>
    <w:rsid w:val="00576A44"/>
    <w:rsid w:val="00591AC1"/>
    <w:rsid w:val="005E7944"/>
    <w:rsid w:val="005F2E05"/>
    <w:rsid w:val="00605BE0"/>
    <w:rsid w:val="00610682"/>
    <w:rsid w:val="0061653C"/>
    <w:rsid w:val="00617156"/>
    <w:rsid w:val="00622125"/>
    <w:rsid w:val="0064759A"/>
    <w:rsid w:val="006633D4"/>
    <w:rsid w:val="00664200"/>
    <w:rsid w:val="006808EC"/>
    <w:rsid w:val="006E3D09"/>
    <w:rsid w:val="00700FB7"/>
    <w:rsid w:val="007032EA"/>
    <w:rsid w:val="00714DBE"/>
    <w:rsid w:val="007528D3"/>
    <w:rsid w:val="00786E5D"/>
    <w:rsid w:val="007A0CA8"/>
    <w:rsid w:val="007B7329"/>
    <w:rsid w:val="007C4057"/>
    <w:rsid w:val="00800475"/>
    <w:rsid w:val="00801DB8"/>
    <w:rsid w:val="008235FF"/>
    <w:rsid w:val="00856C08"/>
    <w:rsid w:val="0088526B"/>
    <w:rsid w:val="00893640"/>
    <w:rsid w:val="008C4A8B"/>
    <w:rsid w:val="00944A26"/>
    <w:rsid w:val="00946675"/>
    <w:rsid w:val="009A3F26"/>
    <w:rsid w:val="009A611A"/>
    <w:rsid w:val="009C51C7"/>
    <w:rsid w:val="009C6344"/>
    <w:rsid w:val="009E2D43"/>
    <w:rsid w:val="00A14447"/>
    <w:rsid w:val="00A7122D"/>
    <w:rsid w:val="00A715FE"/>
    <w:rsid w:val="00A72EEE"/>
    <w:rsid w:val="00AB1B2A"/>
    <w:rsid w:val="00AC5974"/>
    <w:rsid w:val="00AF1BA5"/>
    <w:rsid w:val="00B10AA2"/>
    <w:rsid w:val="00B44B74"/>
    <w:rsid w:val="00B64789"/>
    <w:rsid w:val="00B75260"/>
    <w:rsid w:val="00B76DB6"/>
    <w:rsid w:val="00B81951"/>
    <w:rsid w:val="00B84D8F"/>
    <w:rsid w:val="00B85BD8"/>
    <w:rsid w:val="00B91564"/>
    <w:rsid w:val="00BC6682"/>
    <w:rsid w:val="00BE3645"/>
    <w:rsid w:val="00BE7C6B"/>
    <w:rsid w:val="00C2323C"/>
    <w:rsid w:val="00C27550"/>
    <w:rsid w:val="00C36139"/>
    <w:rsid w:val="00C40FC7"/>
    <w:rsid w:val="00C466B6"/>
    <w:rsid w:val="00C62B1B"/>
    <w:rsid w:val="00C91F16"/>
    <w:rsid w:val="00CB68C5"/>
    <w:rsid w:val="00CC53AE"/>
    <w:rsid w:val="00CF502B"/>
    <w:rsid w:val="00CF5932"/>
    <w:rsid w:val="00D24CAE"/>
    <w:rsid w:val="00D32C23"/>
    <w:rsid w:val="00D402A8"/>
    <w:rsid w:val="00D67047"/>
    <w:rsid w:val="00D77D86"/>
    <w:rsid w:val="00D80224"/>
    <w:rsid w:val="00DE7A19"/>
    <w:rsid w:val="00E800F3"/>
    <w:rsid w:val="00E84306"/>
    <w:rsid w:val="00EA2589"/>
    <w:rsid w:val="00EB58C4"/>
    <w:rsid w:val="00EE0376"/>
    <w:rsid w:val="00F018F9"/>
    <w:rsid w:val="00F4375A"/>
    <w:rsid w:val="00F55187"/>
    <w:rsid w:val="00F65222"/>
    <w:rsid w:val="00FD15D4"/>
    <w:rsid w:val="097D695E"/>
    <w:rsid w:val="0AD030B9"/>
    <w:rsid w:val="160F0656"/>
    <w:rsid w:val="33DB3E96"/>
    <w:rsid w:val="3692F4B5"/>
    <w:rsid w:val="4C7E14A7"/>
    <w:rsid w:val="5469EFC5"/>
    <w:rsid w:val="79576105"/>
    <w:rsid w:val="7E8FF1D2"/>
    <w:rsid w:val="7F4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F9E12"/>
  <w15:chartTrackingRefBased/>
  <w15:docId w15:val="{1167C5D5-0841-42D1-AC48-6F7F97F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77"/>
  </w:style>
  <w:style w:type="paragraph" w:styleId="Heading1">
    <w:name w:val="heading 1"/>
    <w:basedOn w:val="Normal"/>
    <w:next w:val="Normal"/>
    <w:link w:val="Heading1Char"/>
    <w:uiPriority w:val="9"/>
    <w:qFormat/>
    <w:rsid w:val="007C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C234B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AB052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057"/>
    <w:pPr>
      <w:keepNext/>
      <w:keepLines/>
      <w:spacing w:before="160" w:after="80"/>
      <w:outlineLvl w:val="2"/>
    </w:pPr>
    <w:rPr>
      <w:rFonts w:eastAsiaTheme="majorEastAsia" w:cstheme="majorBidi"/>
      <w:b/>
      <w:color w:val="0C234B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05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57"/>
    <w:rPr>
      <w:rFonts w:asciiTheme="majorHAnsi" w:eastAsiaTheme="majorEastAsia" w:hAnsiTheme="majorHAnsi" w:cstheme="majorBidi"/>
      <w:b/>
      <w:color w:val="0C234B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4057"/>
    <w:rPr>
      <w:rFonts w:asciiTheme="majorHAnsi" w:eastAsiaTheme="majorEastAsia" w:hAnsiTheme="majorHAnsi" w:cstheme="majorBidi"/>
      <w:b/>
      <w:color w:val="AB05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4057"/>
    <w:rPr>
      <w:rFonts w:eastAsiaTheme="majorEastAsia" w:cstheme="majorBidi"/>
      <w:b/>
      <w:color w:val="0C234B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6BCD"/>
    <w:rPr>
      <w:rFonts w:eastAsiaTheme="majorEastAsia" w:cstheme="majorBidi"/>
      <w:i/>
      <w:iCs/>
      <w:color w:val="AB05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4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0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2619B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2A09"/>
    <w:rPr>
      <w:color w:val="96607D" w:themeColor="followedHyperlink"/>
      <w:u w:val="single"/>
    </w:rPr>
  </w:style>
  <w:style w:type="paragraph" w:styleId="Header">
    <w:name w:val="header"/>
    <w:basedOn w:val="Normal"/>
    <w:uiPriority w:val="99"/>
    <w:unhideWhenUsed/>
    <w:rsid w:val="7957610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57610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gc.edu/accessibility-resource-center/accessibility-checker" TargetMode="External"/><Relationship Id="rId13" Type="http://schemas.openxmlformats.org/officeDocument/2006/relationships/hyperlink" Target="https://www.uagc.edu/accessibility-resource-center/accessible-multimedia-guid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agcmedia.static.arizona.edu/AU/PDF/2024/Accessibility_Center/Accessibility_Multimedia_Checklist.pdf?_gl=1*88irwy*_gcl_au*MTAwNDYzMzMxNS4xNzU4MTM0MTc3*_ga*ODc5NzcxNTM5LjE3NTgxMzQxNzU.*_ga_YGVNWT39YH*czE3NTgxMzQxNzQkbzEkZzEkdDE3NTgxMzQ4OTYkajU3JGwwJGgxNjM0OTQwNDAx*_fplc*N29ob21Pc3NQTklUWWpvWVptcmhWQW1kTmFsY2laN2NGS0dSdW4lMkI4MFJGdVFnQUt5MjIlMkZlRVN0RmNwUlFLYUN2ejlnWG5od29qRyUyQnV5dWp1ZWpGajV0M3g3VnJBRjJBWWV2V3RNclhtVzRhTHVFN3YwWXNocXJLSWFURWlRJTNEJTNE" TargetMode="External"/><Relationship Id="rId12" Type="http://schemas.openxmlformats.org/officeDocument/2006/relationships/hyperlink" Target="https://uagcmedia.static.arizona.edu/AU/PDF/2024/Accessibility_Center/Checklist_for_External_Websites.pdf?_gl=1*1ecogu2*_gcl_au*MTAwNDYzMzMxNS4xNzU4MTM0MTc3*_ga*ODc5NzcxNTM5LjE3NTgxMzQxNzU.*_ga_YGVNWT39YH*czE3NTgxMzQxNzQkbzEkZzEkdDE3NTgxMzQ1MDkkajU5JGwwJGgxNjM0OTQwNDAx*_fplc*N29ob21Pc3NQTklUWWpvWVptcmhWQW1kTmFsY2laN2NGS0dSdW4lMkI4MFJGdVFnQUt5MjIlMkZlRVN0RmNwUlFLYUN2ejlnWG5od29qRyUyQnV5dWp1ZWpGajV0M3g3VnJBRjJBWWV2V3RNclhtVzRhTHVFN3YwWXNocXJLSWFURWlRJTNEJTN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gc.edu/accessibility-resource-center/web-accessibil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agc.edu/accessibility-resource-center/accessibility-checker" TargetMode="External"/><Relationship Id="rId10" Type="http://schemas.openxmlformats.org/officeDocument/2006/relationships/hyperlink" Target="https://www.uagc.edu/accessibility-resource-center/why-pdf-accessibili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agc.edu/accessibility-resource-center/why-pdf-accessibility" TargetMode="External"/><Relationship Id="rId14" Type="http://schemas.openxmlformats.org/officeDocument/2006/relationships/hyperlink" Target="https://www.uagc.edu/accessibility-resource-center/accessible-cont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852</Words>
  <Characters>6528</Characters>
  <Application>Microsoft Office Word</Application>
  <DocSecurity>0</DocSecurity>
  <Lines>123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Global Campus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Stacy.Gresnick@uagc.edu</dc:creator>
  <cp:keywords/>
  <dc:description/>
  <cp:lastModifiedBy>Pascarella, Alaina</cp:lastModifiedBy>
  <cp:revision>15</cp:revision>
  <dcterms:created xsi:type="dcterms:W3CDTF">2025-10-27T13:58:00Z</dcterms:created>
  <dcterms:modified xsi:type="dcterms:W3CDTF">2025-10-27T15:59:00Z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5c124b9e-e6eb-4926-abeb-1a88d785f1ea</vt:lpwstr>
  </property>
</Properties>
</file>