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280" w:lineRule="auto"/>
        <w:jc w:val="center"/>
        <w:rPr>
          <w:b w:val="1"/>
          <w:sz w:val="42"/>
          <w:szCs w:val="42"/>
        </w:rPr>
      </w:pPr>
      <w:bookmarkStart w:colFirst="0" w:colLast="0" w:name="_82atn8kdocyb" w:id="0"/>
      <w:bookmarkEnd w:id="0"/>
      <w:r w:rsidDel="00000000" w:rsidR="00000000" w:rsidRPr="00000000">
        <w:rPr>
          <w:b w:val="1"/>
          <w:sz w:val="42"/>
          <w:szCs w:val="42"/>
          <w:rtl w:val="0"/>
        </w:rPr>
        <w:t xml:space="preserve">From Compliance to Culture: The UNI’s Journey Toward Digital Accessibility</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November 3, 2025 |  3:45–4:35 PM MT |  </w:t>
      </w:r>
      <w:r w:rsidDel="00000000" w:rsidR="00000000" w:rsidRPr="00000000">
        <w:rPr>
          <w:b w:val="1"/>
          <w:sz w:val="24"/>
          <w:szCs w:val="24"/>
          <w:rtl w:val="0"/>
        </w:rPr>
        <w:t xml:space="preserve">Presenter:</w:t>
      </w:r>
      <w:r w:rsidDel="00000000" w:rsidR="00000000" w:rsidRPr="00000000">
        <w:rPr>
          <w:sz w:val="24"/>
          <w:szCs w:val="24"/>
          <w:rtl w:val="0"/>
        </w:rPr>
        <w:t xml:space="preserve"> Caran Howard, University of Northern Iowa</w:t>
      </w:r>
    </w:p>
    <w:p w:rsidR="00000000" w:rsidDel="00000000" w:rsidP="00000000" w:rsidRDefault="00000000" w:rsidRPr="00000000" w14:paraId="00000003">
      <w:pPr>
        <w:pStyle w:val="Heading1"/>
        <w:keepNext w:val="0"/>
        <w:keepLines w:val="0"/>
        <w:spacing w:before="0" w:lineRule="auto"/>
        <w:rPr>
          <w:b w:val="1"/>
          <w:sz w:val="36"/>
          <w:szCs w:val="36"/>
        </w:rPr>
      </w:pPr>
      <w:bookmarkStart w:colFirst="0" w:colLast="0" w:name="_eur8hy602w20" w:id="1"/>
      <w:bookmarkEnd w:id="1"/>
      <w:r w:rsidDel="00000000" w:rsidR="00000000" w:rsidRPr="00000000">
        <w:rPr>
          <w:b w:val="1"/>
          <w:sz w:val="36"/>
          <w:szCs w:val="36"/>
          <w:rtl w:val="0"/>
        </w:rPr>
        <w:t xml:space="preserve">Session Description</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In response to the DOJ’s 2024 ADA rule, the University of Northern Iowa (UNI) launched a campus-wide initiative to meet WCAG 2.1 AA standards and foster inclusion. This session shares how UNI is working to build faculty engagement through the Digital Accessibility Committee and Panther Accessibility Leaders (PALs) network, offering PD, mentorship, and incentives. Attendees will gain strategies to turn compliance into a culture of accessibility, with time for Q&amp;A and reflection.</w:t>
      </w:r>
    </w:p>
    <w:p w:rsidR="00000000" w:rsidDel="00000000" w:rsidP="00000000" w:rsidRDefault="00000000" w:rsidRPr="00000000" w14:paraId="00000005">
      <w:pPr>
        <w:pStyle w:val="Heading1"/>
        <w:keepNext w:val="0"/>
        <w:keepLines w:val="0"/>
        <w:spacing w:before="0" w:lineRule="auto"/>
        <w:rPr>
          <w:b w:val="1"/>
          <w:sz w:val="36"/>
          <w:szCs w:val="36"/>
        </w:rPr>
      </w:pPr>
      <w:bookmarkStart w:colFirst="0" w:colLast="0" w:name="_e5fspvvt68qa" w:id="2"/>
      <w:bookmarkEnd w:id="2"/>
      <w:r w:rsidDel="00000000" w:rsidR="00000000" w:rsidRPr="00000000">
        <w:rPr>
          <w:b w:val="1"/>
          <w:sz w:val="36"/>
          <w:szCs w:val="36"/>
          <w:rtl w:val="0"/>
        </w:rPr>
        <w:t xml:space="preserve">Learning Objectives</w:t>
      </w:r>
    </w:p>
    <w:p w:rsidR="00000000" w:rsidDel="00000000" w:rsidP="00000000" w:rsidRDefault="00000000" w:rsidRPr="00000000" w14:paraId="00000006">
      <w:pPr>
        <w:numPr>
          <w:ilvl w:val="0"/>
          <w:numId w:val="3"/>
        </w:numPr>
        <w:spacing w:after="0" w:afterAutospacing="0" w:before="0" w:lineRule="auto"/>
        <w:ind w:left="720" w:hanging="360"/>
        <w:rPr>
          <w:sz w:val="24"/>
          <w:szCs w:val="24"/>
          <w:u w:val="none"/>
        </w:rPr>
      </w:pPr>
      <w:r w:rsidDel="00000000" w:rsidR="00000000" w:rsidRPr="00000000">
        <w:rPr>
          <w:sz w:val="24"/>
          <w:szCs w:val="24"/>
          <w:rtl w:val="0"/>
        </w:rPr>
        <w:t xml:space="preserve">Evaluate your current institutional strategies for digital accessibility compliance.</w:t>
      </w:r>
    </w:p>
    <w:p w:rsidR="00000000" w:rsidDel="00000000" w:rsidP="00000000" w:rsidRDefault="00000000" w:rsidRPr="00000000" w14:paraId="00000007">
      <w:pPr>
        <w:numPr>
          <w:ilvl w:val="0"/>
          <w:numId w:val="3"/>
        </w:numPr>
        <w:spacing w:after="0" w:afterAutospacing="0" w:before="0" w:lineRule="auto"/>
        <w:ind w:left="720" w:hanging="360"/>
        <w:rPr>
          <w:sz w:val="24"/>
          <w:szCs w:val="24"/>
          <w:u w:val="none"/>
        </w:rPr>
      </w:pPr>
      <w:r w:rsidDel="00000000" w:rsidR="00000000" w:rsidRPr="00000000">
        <w:rPr>
          <w:sz w:val="24"/>
          <w:szCs w:val="24"/>
          <w:rtl w:val="0"/>
        </w:rPr>
        <w:t xml:space="preserve">Explore scalable faculty development strategies that cultivate accessibility leadership across departments and support inclusive teaching practices.</w:t>
      </w:r>
    </w:p>
    <w:p w:rsidR="00000000" w:rsidDel="00000000" w:rsidP="00000000" w:rsidRDefault="00000000" w:rsidRPr="00000000" w14:paraId="00000008">
      <w:pPr>
        <w:numPr>
          <w:ilvl w:val="0"/>
          <w:numId w:val="3"/>
        </w:numPr>
        <w:spacing w:after="240" w:before="0" w:lineRule="auto"/>
        <w:ind w:left="720" w:hanging="360"/>
        <w:rPr>
          <w:sz w:val="24"/>
          <w:szCs w:val="24"/>
          <w:u w:val="none"/>
        </w:rPr>
      </w:pPr>
      <w:r w:rsidDel="00000000" w:rsidR="00000000" w:rsidRPr="00000000">
        <w:rPr>
          <w:sz w:val="24"/>
          <w:szCs w:val="24"/>
          <w:rtl w:val="0"/>
        </w:rPr>
        <w:t xml:space="preserve">Brainstorm storytelling, collaboration, and training strategies to foster a campus-wide culture of accessibility, engagement, and belonging.</w:t>
      </w:r>
      <w:r w:rsidDel="00000000" w:rsidR="00000000" w:rsidRPr="00000000">
        <w:rPr>
          <w:rtl w:val="0"/>
        </w:rPr>
      </w:r>
    </w:p>
    <w:p w:rsidR="00000000" w:rsidDel="00000000" w:rsidP="00000000" w:rsidRDefault="00000000" w:rsidRPr="00000000" w14:paraId="00000009">
      <w:pPr>
        <w:pStyle w:val="Heading1"/>
        <w:keepNext w:val="0"/>
        <w:keepLines w:val="0"/>
        <w:spacing w:before="0" w:lineRule="auto"/>
        <w:rPr>
          <w:b w:val="1"/>
          <w:sz w:val="36"/>
          <w:szCs w:val="36"/>
        </w:rPr>
      </w:pPr>
      <w:bookmarkStart w:colFirst="0" w:colLast="0" w:name="_5r1fkr52uvkz" w:id="3"/>
      <w:bookmarkEnd w:id="3"/>
      <w:r w:rsidDel="00000000" w:rsidR="00000000" w:rsidRPr="00000000">
        <w:rPr>
          <w:b w:val="1"/>
          <w:sz w:val="36"/>
          <w:szCs w:val="36"/>
          <w:rtl w:val="0"/>
        </w:rPr>
        <w:t xml:space="preserve">UNI’s Accessibility Approach: Move focus from compliance to scalability and cultural change </w:t>
      </w:r>
    </w:p>
    <w:p w:rsidR="00000000" w:rsidDel="00000000" w:rsidP="00000000" w:rsidRDefault="00000000" w:rsidRPr="00000000" w14:paraId="0000000A">
      <w:pPr>
        <w:numPr>
          <w:ilvl w:val="0"/>
          <w:numId w:val="2"/>
        </w:numPr>
        <w:spacing w:after="0" w:before="0" w:lineRule="auto"/>
        <w:ind w:left="720" w:hanging="360"/>
        <w:rPr>
          <w:sz w:val="24"/>
          <w:szCs w:val="24"/>
        </w:rPr>
      </w:pPr>
      <w:r w:rsidDel="00000000" w:rsidR="00000000" w:rsidRPr="00000000">
        <w:rPr>
          <w:b w:val="1"/>
          <w:sz w:val="24"/>
          <w:szCs w:val="24"/>
          <w:rtl w:val="0"/>
        </w:rPr>
        <w:t xml:space="preserve">Teaching &amp; Learning Digital Accessibility Committee</w:t>
      </w:r>
      <w:r w:rsidDel="00000000" w:rsidR="00000000" w:rsidRPr="00000000">
        <w:rPr>
          <w:sz w:val="24"/>
          <w:szCs w:val="24"/>
          <w:rtl w:val="0"/>
        </w:rPr>
        <w:t xml:space="preserve"> (subcommittee of a larger Title II group and focused on faculty and LMS)</w:t>
      </w:r>
    </w:p>
    <w:p w:rsidR="00000000" w:rsidDel="00000000" w:rsidP="00000000" w:rsidRDefault="00000000" w:rsidRPr="00000000" w14:paraId="0000000B">
      <w:pPr>
        <w:numPr>
          <w:ilvl w:val="0"/>
          <w:numId w:val="2"/>
        </w:numPr>
        <w:ind w:left="720" w:hanging="360"/>
        <w:rPr>
          <w:sz w:val="24"/>
          <w:szCs w:val="24"/>
        </w:rPr>
      </w:pPr>
      <w:r w:rsidDel="00000000" w:rsidR="00000000" w:rsidRPr="00000000">
        <w:rPr>
          <w:b w:val="1"/>
          <w:sz w:val="24"/>
          <w:szCs w:val="24"/>
          <w:rtl w:val="0"/>
        </w:rPr>
        <w:t xml:space="preserve">Collabs:</w:t>
      </w:r>
      <w:r w:rsidDel="00000000" w:rsidR="00000000" w:rsidRPr="00000000">
        <w:rPr>
          <w:sz w:val="24"/>
          <w:szCs w:val="24"/>
          <w:rtl w:val="0"/>
        </w:rPr>
        <w:t xml:space="preserve"> Online Education, Center for Teaching and Learning (CETL), and IT collaborate on faculty support and events</w:t>
      </w:r>
      <w:r w:rsidDel="00000000" w:rsidR="00000000" w:rsidRPr="00000000">
        <w:rPr>
          <w:rtl w:val="0"/>
        </w:rPr>
      </w:r>
    </w:p>
    <w:p w:rsidR="00000000" w:rsidDel="00000000" w:rsidP="00000000" w:rsidRDefault="00000000" w:rsidRPr="00000000" w14:paraId="0000000C">
      <w:pPr>
        <w:numPr>
          <w:ilvl w:val="0"/>
          <w:numId w:val="2"/>
        </w:numPr>
        <w:spacing w:after="0" w:before="0" w:lineRule="auto"/>
        <w:ind w:left="720" w:hanging="360"/>
        <w:rPr>
          <w:sz w:val="24"/>
          <w:szCs w:val="24"/>
        </w:rPr>
      </w:pPr>
      <w:r w:rsidDel="00000000" w:rsidR="00000000" w:rsidRPr="00000000">
        <w:rPr>
          <w:b w:val="1"/>
          <w:sz w:val="24"/>
          <w:szCs w:val="24"/>
          <w:rtl w:val="0"/>
        </w:rPr>
        <w:t xml:space="preserve">Digital Accessibility for UNI Faculty</w:t>
      </w:r>
      <w:r w:rsidDel="00000000" w:rsidR="00000000" w:rsidRPr="00000000">
        <w:rPr>
          <w:sz w:val="24"/>
          <w:szCs w:val="24"/>
          <w:rtl w:val="0"/>
        </w:rPr>
        <w:t xml:space="preserve"> training course and resource hub (in LMS)</w:t>
      </w:r>
    </w:p>
    <w:p w:rsidR="00000000" w:rsidDel="00000000" w:rsidP="00000000" w:rsidRDefault="00000000" w:rsidRPr="00000000" w14:paraId="0000000D">
      <w:pPr>
        <w:numPr>
          <w:ilvl w:val="0"/>
          <w:numId w:val="2"/>
        </w:numPr>
        <w:spacing w:after="0" w:before="0" w:lineRule="auto"/>
        <w:ind w:left="720" w:hanging="360"/>
        <w:rPr>
          <w:sz w:val="24"/>
          <w:szCs w:val="24"/>
        </w:rPr>
      </w:pPr>
      <w:r w:rsidDel="00000000" w:rsidR="00000000" w:rsidRPr="00000000">
        <w:rPr>
          <w:b w:val="1"/>
          <w:sz w:val="24"/>
          <w:szCs w:val="24"/>
          <w:rtl w:val="0"/>
        </w:rPr>
        <w:t xml:space="preserve">Faculty buy-in:</w:t>
      </w:r>
      <w:r w:rsidDel="00000000" w:rsidR="00000000" w:rsidRPr="00000000">
        <w:rPr>
          <w:sz w:val="24"/>
          <w:szCs w:val="24"/>
          <w:rtl w:val="0"/>
        </w:rPr>
        <w:t xml:space="preserve"> Panthers Accessibility Leaders (PALs) &amp; Champions (PACs)</w:t>
      </w:r>
    </w:p>
    <w:p w:rsidR="00000000" w:rsidDel="00000000" w:rsidP="00000000" w:rsidRDefault="00000000" w:rsidRPr="00000000" w14:paraId="0000000E">
      <w:pPr>
        <w:numPr>
          <w:ilvl w:val="0"/>
          <w:numId w:val="2"/>
        </w:numPr>
        <w:spacing w:after="0" w:before="0" w:lineRule="auto"/>
        <w:ind w:left="720" w:hanging="360"/>
        <w:rPr>
          <w:sz w:val="24"/>
          <w:szCs w:val="24"/>
        </w:rPr>
      </w:pPr>
      <w:r w:rsidDel="00000000" w:rsidR="00000000" w:rsidRPr="00000000">
        <w:rPr>
          <w:b w:val="1"/>
          <w:sz w:val="24"/>
          <w:szCs w:val="24"/>
          <w:rtl w:val="0"/>
        </w:rPr>
        <w:t xml:space="preserve">Targeted Workshops:</w:t>
      </w:r>
      <w:r w:rsidDel="00000000" w:rsidR="00000000" w:rsidRPr="00000000">
        <w:rPr>
          <w:sz w:val="24"/>
          <w:szCs w:val="24"/>
          <w:rtl w:val="0"/>
        </w:rPr>
        <w:t xml:space="preserve"> College and department-level, with focus on file types or Ally scores</w:t>
      </w:r>
    </w:p>
    <w:p w:rsidR="00000000" w:rsidDel="00000000" w:rsidP="00000000" w:rsidRDefault="00000000" w:rsidRPr="00000000" w14:paraId="0000000F">
      <w:pPr>
        <w:numPr>
          <w:ilvl w:val="0"/>
          <w:numId w:val="2"/>
        </w:numPr>
        <w:spacing w:after="0" w:before="0" w:lineRule="auto"/>
        <w:ind w:left="720" w:hanging="360"/>
        <w:rPr>
          <w:sz w:val="24"/>
          <w:szCs w:val="24"/>
        </w:rPr>
      </w:pPr>
      <w:r w:rsidDel="00000000" w:rsidR="00000000" w:rsidRPr="00000000">
        <w:rPr>
          <w:b w:val="1"/>
          <w:sz w:val="24"/>
          <w:szCs w:val="24"/>
          <w:rtl w:val="0"/>
        </w:rPr>
        <w:t xml:space="preserve">Students First Focus:</w:t>
      </w:r>
      <w:r w:rsidDel="00000000" w:rsidR="00000000" w:rsidRPr="00000000">
        <w:rPr>
          <w:sz w:val="24"/>
          <w:szCs w:val="24"/>
          <w:rtl w:val="0"/>
        </w:rPr>
        <w:t xml:space="preserve"> Always a tag line at UNI</w:t>
      </w:r>
    </w:p>
    <w:p w:rsidR="00000000" w:rsidDel="00000000" w:rsidP="00000000" w:rsidRDefault="00000000" w:rsidRPr="00000000" w14:paraId="00000010">
      <w:pPr>
        <w:pStyle w:val="Heading1"/>
        <w:keepNext w:val="0"/>
        <w:keepLines w:val="0"/>
        <w:spacing w:after="80" w:before="200" w:lineRule="auto"/>
        <w:rPr>
          <w:sz w:val="24"/>
          <w:szCs w:val="24"/>
        </w:rPr>
      </w:pPr>
      <w:bookmarkStart w:colFirst="0" w:colLast="0" w:name="_1nvrurnwxoj7" w:id="4"/>
      <w:bookmarkEnd w:id="4"/>
      <w:r w:rsidDel="00000000" w:rsidR="00000000" w:rsidRPr="00000000">
        <w:rPr>
          <w:b w:val="1"/>
          <w:sz w:val="36"/>
          <w:szCs w:val="36"/>
          <w:rtl w:val="0"/>
        </w:rPr>
        <w:t xml:space="preserve">UNI’s Faculty Engagement Strategies</w:t>
      </w:r>
      <w:r w:rsidDel="00000000" w:rsidR="00000000" w:rsidRPr="00000000">
        <w:rPr>
          <w:rtl w:val="0"/>
        </w:rPr>
      </w:r>
    </w:p>
    <w:p w:rsidR="00000000" w:rsidDel="00000000" w:rsidP="00000000" w:rsidRDefault="00000000" w:rsidRPr="00000000" w14:paraId="00000011">
      <w:pPr>
        <w:numPr>
          <w:ilvl w:val="0"/>
          <w:numId w:val="4"/>
        </w:numPr>
        <w:spacing w:after="0" w:afterAutospacing="0" w:before="240" w:lineRule="auto"/>
        <w:ind w:left="720" w:hanging="360"/>
        <w:rPr>
          <w:sz w:val="24"/>
          <w:szCs w:val="24"/>
          <w:u w:val="none"/>
        </w:rPr>
      </w:pPr>
      <w:r w:rsidDel="00000000" w:rsidR="00000000" w:rsidRPr="00000000">
        <w:rPr>
          <w:b w:val="1"/>
          <w:sz w:val="24"/>
          <w:szCs w:val="24"/>
          <w:rtl w:val="0"/>
        </w:rPr>
        <w:t xml:space="preserve">Build Accessibility Awareness and Support into Existing Events:</w:t>
      </w:r>
      <w:r w:rsidDel="00000000" w:rsidR="00000000" w:rsidRPr="00000000">
        <w:rPr>
          <w:sz w:val="24"/>
          <w:szCs w:val="24"/>
          <w:rtl w:val="0"/>
        </w:rPr>
        <w:t xml:space="preserve"> Fall Faculty Workshop, New Faculty Orientation, High-Impact Practices twice-monthly Roundtable, and UNI’s Annual Technology-Enhanced Learning and Teaching Conference.</w:t>
      </w:r>
    </w:p>
    <w:p w:rsidR="00000000" w:rsidDel="00000000" w:rsidP="00000000" w:rsidRDefault="00000000" w:rsidRPr="00000000" w14:paraId="00000012">
      <w:pPr>
        <w:numPr>
          <w:ilvl w:val="0"/>
          <w:numId w:val="4"/>
        </w:numPr>
        <w:spacing w:after="0" w:afterAutospacing="0" w:before="0" w:beforeAutospacing="0" w:lineRule="auto"/>
        <w:ind w:left="720" w:hanging="360"/>
        <w:rPr>
          <w:sz w:val="24"/>
          <w:szCs w:val="24"/>
        </w:rPr>
      </w:pPr>
      <w:r w:rsidDel="00000000" w:rsidR="00000000" w:rsidRPr="00000000">
        <w:rPr>
          <w:b w:val="1"/>
          <w:sz w:val="24"/>
          <w:szCs w:val="24"/>
          <w:rtl w:val="0"/>
        </w:rPr>
        <w:t xml:space="preserve">PD offerings:</w:t>
      </w:r>
      <w:r w:rsidDel="00000000" w:rsidR="00000000" w:rsidRPr="00000000">
        <w:rPr>
          <w:sz w:val="24"/>
          <w:szCs w:val="24"/>
          <w:rtl w:val="0"/>
        </w:rPr>
        <w:t xml:space="preserve"> asynchronous course in LMS, ongoing workshops, 1:1 support</w:t>
      </w:r>
    </w:p>
    <w:p w:rsidR="00000000" w:rsidDel="00000000" w:rsidP="00000000" w:rsidRDefault="00000000" w:rsidRPr="00000000" w14:paraId="00000013">
      <w:pPr>
        <w:numPr>
          <w:ilvl w:val="0"/>
          <w:numId w:val="4"/>
        </w:numPr>
        <w:spacing w:after="0" w:afterAutospacing="0" w:before="0" w:beforeAutospacing="0" w:lineRule="auto"/>
        <w:ind w:left="720" w:hanging="360"/>
        <w:rPr>
          <w:sz w:val="24"/>
          <w:szCs w:val="24"/>
        </w:rPr>
      </w:pPr>
      <w:r w:rsidDel="00000000" w:rsidR="00000000" w:rsidRPr="00000000">
        <w:rPr>
          <w:b w:val="1"/>
          <w:sz w:val="24"/>
          <w:szCs w:val="24"/>
          <w:rtl w:val="0"/>
        </w:rPr>
        <w:t xml:space="preserve">Peer mentorship:</w:t>
      </w:r>
      <w:r w:rsidDel="00000000" w:rsidR="00000000" w:rsidRPr="00000000">
        <w:rPr>
          <w:sz w:val="24"/>
          <w:szCs w:val="24"/>
          <w:rtl w:val="0"/>
        </w:rPr>
        <w:t xml:space="preserve"> Create alliship between faculty and PALs in departments/colleges</w:t>
      </w:r>
    </w:p>
    <w:p w:rsidR="00000000" w:rsidDel="00000000" w:rsidP="00000000" w:rsidRDefault="00000000" w:rsidRPr="00000000" w14:paraId="00000014">
      <w:pPr>
        <w:numPr>
          <w:ilvl w:val="0"/>
          <w:numId w:val="4"/>
        </w:numPr>
        <w:spacing w:after="240" w:before="0" w:beforeAutospacing="0" w:lineRule="auto"/>
        <w:ind w:left="720" w:hanging="360"/>
        <w:rPr>
          <w:sz w:val="24"/>
          <w:szCs w:val="24"/>
        </w:rPr>
      </w:pPr>
      <w:r w:rsidDel="00000000" w:rsidR="00000000" w:rsidRPr="00000000">
        <w:rPr>
          <w:b w:val="1"/>
          <w:sz w:val="24"/>
          <w:szCs w:val="24"/>
          <w:rtl w:val="0"/>
        </w:rPr>
        <w:t xml:space="preserve">Incentives:</w:t>
      </w:r>
      <w:r w:rsidDel="00000000" w:rsidR="00000000" w:rsidRPr="00000000">
        <w:rPr>
          <w:sz w:val="24"/>
          <w:szCs w:val="24"/>
          <w:rtl w:val="0"/>
        </w:rPr>
        <w:t xml:space="preserve"> Stipends (one-time provost funding x2), recognition (call-outs in newsletters and meetings), community-building, and documentation for faculty review (certificates and LMS badges). </w:t>
      </w:r>
    </w:p>
    <w:p w:rsidR="00000000" w:rsidDel="00000000" w:rsidP="00000000" w:rsidRDefault="00000000" w:rsidRPr="00000000" w14:paraId="00000015">
      <w:pPr>
        <w:pStyle w:val="Heading1"/>
        <w:keepNext w:val="0"/>
        <w:keepLines w:val="0"/>
        <w:spacing w:after="80" w:lineRule="auto"/>
        <w:rPr>
          <w:b w:val="1"/>
          <w:sz w:val="36"/>
          <w:szCs w:val="36"/>
        </w:rPr>
      </w:pPr>
      <w:bookmarkStart w:colFirst="0" w:colLast="0" w:name="_4xuqzm64ybdn" w:id="5"/>
      <w:bookmarkEnd w:id="5"/>
      <w:r w:rsidDel="00000000" w:rsidR="00000000" w:rsidRPr="00000000">
        <w:rPr>
          <w:b w:val="1"/>
          <w:sz w:val="36"/>
          <w:szCs w:val="36"/>
          <w:rtl w:val="0"/>
        </w:rPr>
        <w:t xml:space="preserve">Your Takeaways</w:t>
      </w:r>
    </w:p>
    <w:p w:rsidR="00000000" w:rsidDel="00000000" w:rsidP="00000000" w:rsidRDefault="00000000" w:rsidRPr="00000000" w14:paraId="00000016">
      <w:pPr>
        <w:pStyle w:val="Heading2"/>
        <w:keepNext w:val="0"/>
        <w:keepLines w:val="0"/>
        <w:spacing w:before="280" w:lineRule="auto"/>
        <w:rPr>
          <w:b w:val="1"/>
          <w:sz w:val="28"/>
          <w:szCs w:val="28"/>
        </w:rPr>
      </w:pPr>
      <w:bookmarkStart w:colFirst="0" w:colLast="0" w:name="_rn78riv6t66r" w:id="6"/>
      <w:bookmarkEnd w:id="6"/>
      <w:r w:rsidDel="00000000" w:rsidR="00000000" w:rsidRPr="00000000">
        <w:rPr>
          <w:b w:val="1"/>
          <w:sz w:val="28"/>
          <w:szCs w:val="28"/>
          <w:rtl w:val="0"/>
        </w:rPr>
        <w:t xml:space="preserve">Accessibility in Action</w:t>
      </w:r>
    </w:p>
    <w:p w:rsidR="00000000" w:rsidDel="00000000" w:rsidP="00000000" w:rsidRDefault="00000000" w:rsidRPr="00000000" w14:paraId="00000017">
      <w:pPr>
        <w:numPr>
          <w:ilvl w:val="0"/>
          <w:numId w:val="1"/>
        </w:numPr>
        <w:spacing w:after="0" w:afterAutospacing="0" w:before="240" w:lineRule="auto"/>
        <w:ind w:left="720" w:hanging="360"/>
        <w:rPr>
          <w:sz w:val="24"/>
          <w:szCs w:val="24"/>
        </w:rPr>
      </w:pPr>
      <w:r w:rsidDel="00000000" w:rsidR="00000000" w:rsidRPr="00000000">
        <w:rPr>
          <w:b w:val="1"/>
          <w:sz w:val="24"/>
          <w:szCs w:val="24"/>
          <w:rtl w:val="0"/>
        </w:rPr>
        <w:t xml:space="preserve">Layout Simple, Best Practice Goals for Content Remediation:</w:t>
      </w:r>
      <w:r w:rsidDel="00000000" w:rsidR="00000000" w:rsidRPr="00000000">
        <w:rPr>
          <w:sz w:val="24"/>
          <w:szCs w:val="24"/>
          <w:rtl w:val="0"/>
        </w:rPr>
        <w:t xml:space="preserve"> use alt text, captions, document structure, and accessibility checkers</w:t>
      </w:r>
    </w:p>
    <w:p w:rsidR="00000000" w:rsidDel="00000000" w:rsidP="00000000" w:rsidRDefault="00000000" w:rsidRPr="00000000" w14:paraId="00000018">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Create and Distribute Checklists:</w:t>
      </w:r>
      <w:r w:rsidDel="00000000" w:rsidR="00000000" w:rsidRPr="00000000">
        <w:rPr>
          <w:sz w:val="24"/>
          <w:szCs w:val="24"/>
          <w:rtl w:val="0"/>
        </w:rPr>
        <w:t xml:space="preserve"> File-type checklists that can be modified. Easy to access–in a training course or a site on your institution's page</w:t>
      </w:r>
    </w:p>
    <w:p w:rsidR="00000000" w:rsidDel="00000000" w:rsidP="00000000" w:rsidRDefault="00000000" w:rsidRPr="00000000" w14:paraId="00000019">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Address Field-specific challenges:</w:t>
      </w:r>
      <w:r w:rsidDel="00000000" w:rsidR="00000000" w:rsidRPr="00000000">
        <w:rPr>
          <w:sz w:val="24"/>
          <w:szCs w:val="24"/>
          <w:rtl w:val="0"/>
        </w:rPr>
        <w:t xml:space="preserve"> music, math, physics, nursing, etc.</w:t>
      </w:r>
    </w:p>
    <w:p w:rsidR="00000000" w:rsidDel="00000000" w:rsidP="00000000" w:rsidRDefault="00000000" w:rsidRPr="00000000" w14:paraId="0000001A">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Repeat and Remind:</w:t>
      </w:r>
      <w:r w:rsidDel="00000000" w:rsidR="00000000" w:rsidRPr="00000000">
        <w:rPr>
          <w:sz w:val="24"/>
          <w:szCs w:val="24"/>
          <w:rtl w:val="0"/>
        </w:rPr>
        <w:t xml:space="preserve"> </w:t>
      </w:r>
    </w:p>
    <w:p w:rsidR="00000000" w:rsidDel="00000000" w:rsidP="00000000" w:rsidRDefault="00000000" w:rsidRPr="00000000" w14:paraId="0000001B">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People and resources for support. “You are not alone.”</w:t>
      </w:r>
    </w:p>
    <w:p w:rsidR="00000000" w:rsidDel="00000000" w:rsidP="00000000" w:rsidRDefault="00000000" w:rsidRPr="00000000" w14:paraId="0000001C">
      <w:pPr>
        <w:numPr>
          <w:ilvl w:val="1"/>
          <w:numId w:val="1"/>
        </w:numPr>
        <w:spacing w:after="0" w:afterAutospacing="0" w:before="0" w:beforeAutospacing="0" w:lineRule="auto"/>
        <w:ind w:left="1440" w:hanging="360"/>
        <w:rPr>
          <w:sz w:val="24"/>
          <w:szCs w:val="24"/>
          <w:u w:val="none"/>
        </w:rPr>
      </w:pPr>
      <w:r w:rsidDel="00000000" w:rsidR="00000000" w:rsidRPr="00000000">
        <w:rPr>
          <w:sz w:val="24"/>
          <w:szCs w:val="24"/>
          <w:rtl w:val="0"/>
        </w:rPr>
        <w:t xml:space="preserve">It’s a journey, and one file type at a time.</w:t>
      </w:r>
    </w:p>
    <w:p w:rsidR="00000000" w:rsidDel="00000000" w:rsidP="00000000" w:rsidRDefault="00000000" w:rsidRPr="00000000" w14:paraId="0000001D">
      <w:pPr>
        <w:numPr>
          <w:ilvl w:val="0"/>
          <w:numId w:val="1"/>
        </w:numPr>
        <w:spacing w:after="240" w:before="0" w:beforeAutospacing="0" w:lineRule="auto"/>
        <w:ind w:left="720" w:hanging="360"/>
        <w:rPr>
          <w:sz w:val="24"/>
          <w:szCs w:val="24"/>
        </w:rPr>
      </w:pPr>
      <w:r w:rsidDel="00000000" w:rsidR="00000000" w:rsidRPr="00000000">
        <w:rPr>
          <w:b w:val="1"/>
          <w:sz w:val="24"/>
          <w:szCs w:val="24"/>
          <w:rtl w:val="0"/>
        </w:rPr>
        <w:t xml:space="preserve">Promote the Goal for New Content:</w:t>
      </w:r>
      <w:r w:rsidDel="00000000" w:rsidR="00000000" w:rsidRPr="00000000">
        <w:rPr>
          <w:sz w:val="24"/>
          <w:szCs w:val="24"/>
          <w:rtl w:val="0"/>
        </w:rPr>
        <w:t xml:space="preserve"> Accessible from the start—proactive</w:t>
      </w:r>
    </w:p>
    <w:p w:rsidR="00000000" w:rsidDel="00000000" w:rsidP="00000000" w:rsidRDefault="00000000" w:rsidRPr="00000000" w14:paraId="0000001E">
      <w:pPr>
        <w:pStyle w:val="Heading2"/>
        <w:keepNext w:val="0"/>
        <w:keepLines w:val="0"/>
        <w:spacing w:before="280" w:lineRule="auto"/>
        <w:rPr>
          <w:b w:val="1"/>
          <w:sz w:val="28"/>
          <w:szCs w:val="28"/>
        </w:rPr>
      </w:pPr>
      <w:bookmarkStart w:colFirst="0" w:colLast="0" w:name="_j6sbceu409mk" w:id="7"/>
      <w:bookmarkEnd w:id="7"/>
      <w:r w:rsidDel="00000000" w:rsidR="00000000" w:rsidRPr="00000000">
        <w:rPr>
          <w:b w:val="1"/>
          <w:sz w:val="28"/>
          <w:szCs w:val="28"/>
          <w:rtl w:val="0"/>
        </w:rPr>
        <w:t xml:space="preserve">Your Turn</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What’s one strategy you could take back to support accessibility on your campus?</w:t>
      </w:r>
    </w:p>
    <w:p w:rsidR="00000000" w:rsidDel="00000000" w:rsidP="00000000" w:rsidRDefault="00000000" w:rsidRPr="00000000" w14:paraId="00000020">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Pair up or form small groups</w:t>
      </w:r>
    </w:p>
    <w:p w:rsidR="00000000" w:rsidDel="00000000" w:rsidP="00000000" w:rsidRDefault="00000000" w:rsidRPr="00000000" w14:paraId="00000021">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Share one challenge and one idea</w:t>
      </w:r>
    </w:p>
    <w:p w:rsidR="00000000" w:rsidDel="00000000" w:rsidP="00000000" w:rsidRDefault="00000000" w:rsidRPr="00000000" w14:paraId="00000022">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Jot down 1–2 practical takeaways</w:t>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t xml:space="preserve">📧 Contact: Caran Howard | caran.howard@uni.edu</w:t>
      </w:r>
    </w:p>
    <w:sectPr>
      <w:foot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